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zh-CN"/>
        </w:rPr>
        <w:t>安庆市中医医院妇科冷刀宫腔镜手术系统采购项目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清单及参数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一览表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68"/>
        <w:gridCol w:w="7029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3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  <w:t>技术参数要求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冷刀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宫腔镜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手术系统</w:t>
            </w:r>
          </w:p>
        </w:tc>
        <w:tc>
          <w:tcPr>
            <w:tcW w:w="3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总体要求：该套系统具有按照国家食品药品监督局规定，适用范围仅限于妇产科宫腔手术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2、★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宫腔镜镜体，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90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°平行视野直视镜体，视向角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°，工作长度≥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一支</w:t>
            </w:r>
          </w:p>
          <w:p>
            <w:pPr>
              <w:tabs>
                <w:tab w:val="left" w:pos="5617"/>
              </w:tabs>
              <w:spacing w:line="240" w:lineRule="auto"/>
              <w:jc w:val="lef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3、★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宫腔镜镜体器械通道≥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毫米，通道工作长度大于等于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200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毫米。</w:t>
            </w:r>
          </w:p>
          <w:p>
            <w:pPr>
              <w:tabs>
                <w:tab w:val="left" w:pos="5617"/>
              </w:tabs>
              <w:spacing w:line="240" w:lineRule="auto"/>
              <w:jc w:val="left"/>
              <w:rPr>
                <w:rFonts w:hint="default" w:asci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4、★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外鞘直径≤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24Fr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毫米），前端侧面带有多个出水孔。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一支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5、★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柱状透镜内窥镜，内窥镜成像清晰，视场边缘圆整，密封良好。宫腔镜镜体可采用多种方式灭菌：环氧乙烷气体、低温等离子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高温高压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灭菌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闭孔器，鞘套和闭孔器均有其不同的色标相对应，镜身标有度数，方便选择性使用。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一支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7、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异物钳（强力抓钳），单开，可以拆卸，直径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毫米，工作长度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350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毫米，可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度旋转。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一把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8、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剪刀（单开微型剪刀），尖头，可以拆卸，直径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毫米，工作长度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350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毫米，可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度旋转。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一把</w:t>
            </w:r>
          </w:p>
          <w:p>
            <w:pPr>
              <w:tabs>
                <w:tab w:val="left" w:pos="5617"/>
              </w:tabs>
              <w:spacing w:line="240" w:lineRule="auto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9、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剪刀（双开弯剪刀），可以拆卸，直径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毫米，工作长度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毫米，可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度旋转。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一把</w:t>
            </w:r>
          </w:p>
          <w:p>
            <w:pPr>
              <w:tabs>
                <w:tab w:val="left" w:pos="5617"/>
              </w:tabs>
              <w:spacing w:line="240" w:lineRule="auto"/>
              <w:jc w:val="lef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10、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锯齿钳（鼠齿钳），可以拆卸，直径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毫米，工作长度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毫米，可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度旋转。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一把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10" w:hanging="210" w:hangingChars="10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11、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锯齿钳（左弯分离钳），可以拆卸，直径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毫米，工作长度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毫米，可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度旋转。一把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12、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活检钳，可以拆卸，直径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毫米，工作长度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≧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毫米，可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度旋转。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双极电凝（双极电凝铲状），微弯，直径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毫米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根</w:t>
            </w:r>
          </w:p>
          <w:p>
            <w:pPr>
              <w:keepNext w:val="0"/>
              <w:keepLines w:val="0"/>
              <w:pageBreakBefore w:val="0"/>
              <w:tabs>
                <w:tab w:val="left" w:pos="56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双极电凝（双极高频连线），长度大于等于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一条</w:t>
            </w:r>
            <w:r>
              <w:rPr>
                <w:rFonts w:ascii="宋体" w:cs="Times New Roman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、消毒篮一个，可高温高压消毒，带内置器械摆放架，具有蒸汽透气孔。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双极电切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内窥镜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内窥镜镜体全部采用进口不锈钢管；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★窥镜采用德国光学玻璃、光钎、光锥；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★采用柱状透镜专利技术，图像清晰、视场明亮；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带有方向标，蓝宝石镜头，永不磨损；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采用耐高温高强度陶瓷；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外鞘大量精细的外鞘出水孔，更有利于保证术中视野清晰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★主动式、被动式两种结构任选，操作器采用无电源方式，电极无需与操作器串联；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不锈钢水阀，彻底根除了水阀维护繁琐，易损坏的弊病；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★外鞘保持静止时操作器、内窥镜、内鞘和手术电极可360°旋转，可持续灌流；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内窥镜可承受低温等离子消毒；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可选购耐高温高压消毒内窥镜。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镜体外径：Ø4mm            ★镜体长度：302mm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视向角：30°              视场角：60°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角分辨力：2.97C/（°）    有效景深：3-50mm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目镜罩外径：Ø32mm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光缆接头外径：Ø10mm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最大插入部外径：≤Ø8.8mm                 工作长度： 180mm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★手术电极行程：26mm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★光缆：配有转换接头可与WOLF、STORZ光源连接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光缆接头可与STORZ、OLYMPUS、WOLF、ACMI光缆连接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与医用电气设备互连使用的安全要求应全项符合GB9706.1、GB9706.19的要求。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高清工作站配置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一、软件：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操作简洁方便，完成一个报告只需四步。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首创的视频优化处理技术，消除高分辨下的影像拉丝现象，画面更清晰、细腻。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单个或整体导出病人资料网页，可脱离工作站平台单独查看，可用于医学交流。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强大的、可扩展的报告设计系统，支持增加任意风格或特殊要求的报告单。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编辑模板方便快捷，方便医生快速建立自己的专家词库。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无限制采集图像采图分辨率可达720 X 576,高清版本可高达1920 X 1080。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图文统计报告单，更直观的统计业务量及收费情况。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对诊断进行的录像，播放清晰，占用硬盘空间小，回放时可采集图像，并可快速找到录像存放的位置，方便刻录保存。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病人资料、影像和诊断信息实时自动保存，不会因误操作、病毒、断电等外界因素而导致病人信息的丢失。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功能强大，使用简单的用户管理模块，为主任和医师设计不同的权限，增强工作站的安全性。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★强大的图像处理：可对图像进行图形标注、文字标注、部位标注、示意图标、病理描述、测量等功能，放大镜功能可局部放大图像，便于观察诊断。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二、硬件：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1、计算机：戴尔 CPU G5400 4G内存  1T硬盘  DVD刻录光驱 21.5液晶显示器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2、打印机：爱普生L1119 彩色喷墨打印机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3、视频采集卡：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（1）功能：具有动态/静态影像采集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（2）支持YUV 4:2:2, YUV 4:1:1 , RGB 32, 24, 15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（3）输入讯号：支持DVI、HDMI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（4）分辨率支持：800*600、1280*1024、最高可达1920*1080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4、相关配件：USB加密狗、脚踏采集开关、高品质视频线、软件光盘。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腔镜灌注泵</w:t>
            </w:r>
          </w:p>
        </w:tc>
        <w:tc>
          <w:tcPr>
            <w:tcW w:w="3528" w:type="pct"/>
            <w:noWrap w:val="0"/>
            <w:vAlign w:val="center"/>
          </w:tcPr>
          <w:p>
            <w:pPr>
              <w:pStyle w:val="12"/>
              <w:spacing w:line="240" w:lineRule="auto"/>
              <w:ind w:firstLine="48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腔镜灌注泵利用液体介质对腔体加压膨胀，适用于腔镜检查和手术中形成可视空间及腔内冲洗。</w:t>
            </w:r>
          </w:p>
          <w:p>
            <w:pPr>
              <w:pStyle w:val="12"/>
              <w:spacing w:line="240" w:lineRule="auto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一、特点</w:t>
            </w:r>
          </w:p>
          <w:p>
            <w:pPr>
              <w:pStyle w:val="12"/>
              <w:spacing w:line="240" w:lineRule="auto"/>
              <w:ind w:firstLine="48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液体灌注采用静音电机带动泵管运行，设备运行平稳，噪声小。工作压力及流量由程序自动控制，过压时候自动停止工作。当压力恢复正常时设备自动进入正常工作状态。数值显示设定压力、设定流量、腔内实际压力，可在KPa和mmHg两个压力显示单位进行切换。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二、主机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技术参数：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电源:交流</w:t>
            </w:r>
            <w:r>
              <w:rPr>
                <w:rFonts w:hint="eastAsia" w:ascii="宋体" w:hAnsi="宋体"/>
                <w:color w:val="auto"/>
                <w:spacing w:val="-20"/>
                <w:sz w:val="21"/>
                <w:szCs w:val="21"/>
                <w:highlight w:val="none"/>
              </w:rPr>
              <w:t>220V ±22V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50Hz±1Hz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。输入功率：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90VA。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2、I类设备BF型应用部分。</w:t>
            </w:r>
          </w:p>
          <w:p>
            <w:pPr>
              <w:spacing w:line="240" w:lineRule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设定压力调节范围2.6KPa～53.3KPa（20mmHg～400mmHg）。在压力显示单位为KPa时，压力调节步长为0.1KPa，压力显示单位为mmHg时，压力调节步长为1mmHg。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4、设定流量调节范围0.1L/min～1L/min。调节步长为0.1L/min。</w:t>
            </w:r>
          </w:p>
          <w:p>
            <w:pPr>
              <w:spacing w:line="240" w:lineRule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5、设定压力和设定流量的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开机设定值为前次使用设定值。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6、电气安全要求符合GB9706.1-2007标准要求。</w:t>
            </w:r>
          </w:p>
          <w:p>
            <w:pPr>
              <w:spacing w:line="240" w:lineRule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7、电磁兼容要求符合YY0505-2012标准要求。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三、附件——传感输液器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产品特点：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1、整体采用符合医疗器械要求的材质；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2、适用于高温高压方式灭菌（塑料针除外）；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3、适用于低温等离子方式灭菌；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4、输液袋插拔方便，快捷。双针接口，方便更换输液袋；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传感器可与wolf灌注泵互换；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6、胶膜拆装方便；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7、提高输液器液体流量；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8、采用保护盖结构，防止清洗及消毒时胶膜丢失。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4C80"/>
    <w:rsid w:val="0AF16C2E"/>
    <w:rsid w:val="24854C80"/>
    <w:rsid w:val="2A2D53D5"/>
    <w:rsid w:val="61D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iPriority w:val="0"/>
    <w:pPr>
      <w:ind w:firstLine="42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20"/>
    <w:rPr>
      <w:i/>
      <w:i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2020-11-07T01:25:00Z</dcterms:created>
  <dc:creator>【东至碧桂园·嘉誉】吴月娇</dc:creator>
  <cp:lastModifiedBy>无名</cp:lastModifiedBy>
  <dcterms:modified xsi:type="dcterms:W3CDTF">2020-12-08T02:51:30Z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