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napToGrid w:val="0"/>
          <w:kern w:val="0"/>
          <w:sz w:val="32"/>
          <w:szCs w:val="32"/>
        </w:rPr>
      </w:pPr>
      <w:bookmarkStart w:id="2" w:name="_GoBack"/>
      <w:bookmarkEnd w:id="2"/>
      <w:r>
        <w:rPr>
          <w:rFonts w:hint="eastAsia" w:ascii="宋体" w:hAnsi="宋体" w:cs="宋体"/>
          <w:b/>
          <w:bCs/>
          <w:sz w:val="32"/>
          <w:szCs w:val="32"/>
          <w:lang w:val="zh-CN"/>
        </w:rPr>
        <w:t>采购需求</w:t>
      </w:r>
    </w:p>
    <w:p>
      <w:pPr>
        <w:widowControl/>
        <w:spacing w:line="360" w:lineRule="auto"/>
        <w:ind w:firstLine="420" w:firstLineChars="200"/>
        <w:rPr>
          <w:rFonts w:ascii="宋体" w:hAnsi="宋体"/>
          <w:szCs w:val="21"/>
        </w:rPr>
      </w:pPr>
      <w:r>
        <w:rPr>
          <w:rFonts w:hint="eastAsia" w:ascii="宋体" w:hAnsi="宋体"/>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pPr>
        <w:widowControl/>
        <w:spacing w:line="360" w:lineRule="auto"/>
        <w:rPr>
          <w:b/>
          <w:bCs/>
        </w:rPr>
      </w:pPr>
      <w:r>
        <w:rPr>
          <w:rFonts w:hint="eastAsia"/>
          <w:b/>
          <w:bCs/>
        </w:rPr>
        <w:t>一、货物需求一览表</w:t>
      </w:r>
    </w:p>
    <w:tbl>
      <w:tblPr>
        <w:tblStyle w:val="3"/>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6"/>
        <w:gridCol w:w="4759"/>
        <w:gridCol w:w="114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序号</w:t>
            </w:r>
          </w:p>
        </w:tc>
        <w:tc>
          <w:tcPr>
            <w:tcW w:w="51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品名</w:t>
            </w:r>
          </w:p>
        </w:tc>
        <w:tc>
          <w:tcPr>
            <w:tcW w:w="2741"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技术参数</w:t>
            </w:r>
          </w:p>
        </w:tc>
        <w:tc>
          <w:tcPr>
            <w:tcW w:w="661"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年预估量</w:t>
            </w:r>
          </w:p>
        </w:tc>
        <w:tc>
          <w:tcPr>
            <w:tcW w:w="714"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1</w:t>
            </w:r>
          </w:p>
        </w:tc>
        <w:tc>
          <w:tcPr>
            <w:tcW w:w="516" w:type="pct"/>
            <w:noWrap/>
            <w:vAlign w:val="center"/>
          </w:tcPr>
          <w:p>
            <w:pPr>
              <w:topLinePunct/>
              <w:contextualSpacing/>
              <w:jc w:val="center"/>
              <w:rPr>
                <w:rFonts w:ascii="宋体" w:hAnsi="宋体" w:cs="宋体"/>
                <w:color w:val="000000"/>
                <w:szCs w:val="21"/>
              </w:rPr>
            </w:pPr>
            <w:r>
              <w:rPr>
                <w:rFonts w:hint="eastAsia" w:ascii="宋体" w:hAnsi="宋体" w:cs="宋体"/>
                <w:szCs w:val="21"/>
              </w:rPr>
              <w:t>一次性使用气管插管套件</w:t>
            </w:r>
          </w:p>
        </w:tc>
        <w:tc>
          <w:tcPr>
            <w:tcW w:w="2741" w:type="pct"/>
            <w:noWrap/>
            <w:vAlign w:val="center"/>
          </w:tcPr>
          <w:p>
            <w:pPr>
              <w:topLinePunct/>
              <w:spacing w:line="360" w:lineRule="auto"/>
              <w:contextualSpacing/>
              <w:jc w:val="left"/>
              <w:rPr>
                <w:rFonts w:ascii="宋体" w:hAnsi="宋体" w:cs="宋体"/>
                <w:szCs w:val="21"/>
              </w:rPr>
            </w:pPr>
            <w:r>
              <w:rPr>
                <w:rFonts w:hint="eastAsia" w:ascii="宋体" w:hAnsi="宋体" w:cs="宋体"/>
                <w:szCs w:val="21"/>
              </w:rPr>
              <w:t>1、气管插管套件结构：加强型气管插管、一次性使用口咽通气道、医用咬合器、导芯、体外吸引连接管、呼吸道用吸引导管、一次性使用口咽通气道、口垫、溶药注射器、麻醉咽喉镜套、咽喉镜、牙护套、润滑剂、橡胶医用手套、医用脱脂纱布块、医用胶带、视频喉镜片等结构组成。</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2.加强型气管插管：（2.0#-11.0#）型号齐全，符合标准YY 0337.1-2002的规定；加强型气管插管柔软抗打折，防止被咬扁，更好保持气道通畅。气管插管管体不含增塑剂DEHP，生物安全性更高。</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3.一次性视频喉镜片：可供选择（1#、2#、3#、4 #、5#）5种规格喉镜片分别满足（小儿、青少年、成人、肥胖、困难气道）</w:t>
            </w:r>
            <w:r>
              <w:rPr>
                <w:rFonts w:hint="eastAsia" w:ascii="宋体" w:hAnsi="宋体" w:cs="宋体"/>
                <w:szCs w:val="21"/>
                <w:lang w:val="en-US" w:eastAsia="zh-CN"/>
              </w:rPr>
              <w:t>麻</w:t>
            </w:r>
            <w:r>
              <w:rPr>
                <w:rFonts w:hint="eastAsia" w:ascii="宋体" w:hAnsi="宋体" w:cs="宋体"/>
                <w:szCs w:val="21"/>
              </w:rPr>
              <w:t>醉视频喉镜配合使用，透明可防雾，防止交叉感染。</w:t>
            </w:r>
          </w:p>
          <w:p>
            <w:pPr>
              <w:topLinePunct/>
              <w:spacing w:line="360" w:lineRule="auto"/>
              <w:contextualSpacing/>
              <w:jc w:val="left"/>
              <w:rPr>
                <w:rFonts w:ascii="宋体" w:hAnsi="宋体" w:cs="宋体"/>
                <w:szCs w:val="21"/>
              </w:rPr>
            </w:pPr>
            <w:r>
              <w:rPr>
                <w:rFonts w:hint="eastAsia" w:ascii="宋体" w:hAnsi="宋体" w:cs="宋体"/>
                <w:szCs w:val="21"/>
                <w:lang w:val="zh-CN"/>
              </w:rPr>
              <w:t>★</w:t>
            </w:r>
            <w:r>
              <w:rPr>
                <w:rFonts w:hint="eastAsia" w:ascii="宋体" w:hAnsi="宋体" w:cs="宋体"/>
                <w:szCs w:val="21"/>
              </w:rPr>
              <w:t>4.气管插管引导丝：规格：Fr6、Fr8、Fr10、Fr12、Fr14、Fr16，由PVC软管和内芯组成，导丝管体粗细均匀、光滑清洁无异物，气管插管时易被塑形。</w:t>
            </w:r>
          </w:p>
          <w:p>
            <w:pPr>
              <w:topLinePunct/>
              <w:spacing w:line="360" w:lineRule="auto"/>
              <w:contextualSpacing/>
              <w:jc w:val="left"/>
              <w:rPr>
                <w:rFonts w:ascii="宋体" w:hAnsi="宋体" w:cs="宋体"/>
                <w:szCs w:val="21"/>
              </w:rPr>
            </w:pPr>
            <w:r>
              <w:rPr>
                <w:rFonts w:hint="eastAsia" w:ascii="宋体" w:hAnsi="宋体" w:cs="宋体"/>
                <w:szCs w:val="21"/>
              </w:rPr>
              <w:t>5.视频喉镜要求：</w:t>
            </w:r>
          </w:p>
          <w:p>
            <w:pPr>
              <w:topLinePunct/>
              <w:spacing w:line="360" w:lineRule="auto"/>
              <w:contextualSpacing/>
              <w:jc w:val="left"/>
              <w:rPr>
                <w:rFonts w:ascii="宋体" w:hAnsi="宋体" w:cs="宋体"/>
                <w:szCs w:val="21"/>
              </w:rPr>
            </w:pPr>
            <w:r>
              <w:rPr>
                <w:rFonts w:hint="eastAsia" w:ascii="宋体" w:hAnsi="宋体" w:cs="宋体"/>
                <w:szCs w:val="21"/>
              </w:rPr>
              <w:t>①一支喉镜手柄可五种不同规格的镜片匹配使用，适用范围广；</w:t>
            </w:r>
          </w:p>
          <w:p>
            <w:pPr>
              <w:topLinePunct/>
              <w:spacing w:line="360" w:lineRule="auto"/>
              <w:contextualSpacing/>
              <w:jc w:val="left"/>
            </w:pPr>
            <w:r>
              <w:rPr>
                <w:rFonts w:hint="eastAsia" w:ascii="宋体" w:hAnsi="宋体" w:cs="宋体"/>
                <w:szCs w:val="21"/>
              </w:rPr>
              <w:t>②显示器可前后转动角度&gt;0-180°，显示器可左右转动角度&gt;0-270°。</w:t>
            </w:r>
          </w:p>
        </w:tc>
        <w:tc>
          <w:tcPr>
            <w:tcW w:w="661" w:type="pct"/>
            <w:noWrap/>
            <w:vAlign w:val="center"/>
          </w:tcPr>
          <w:p>
            <w:pPr>
              <w:topLinePunct/>
              <w:contextualSpacing/>
              <w:jc w:val="center"/>
              <w:rPr>
                <w:rFonts w:hint="eastAsia" w:ascii="宋体" w:hAnsi="宋体" w:eastAsia="宋体" w:cs="宋体"/>
                <w:color w:val="000000"/>
                <w:szCs w:val="21"/>
                <w:lang w:eastAsia="zh-CN"/>
              </w:rPr>
            </w:pPr>
            <w:r>
              <w:rPr>
                <w:rFonts w:hint="eastAsia" w:ascii="宋体" w:hAnsi="宋体" w:cs="宋体"/>
                <w:color w:val="000000"/>
                <w:szCs w:val="21"/>
              </w:rPr>
              <w:t>800</w:t>
            </w:r>
            <w:r>
              <w:rPr>
                <w:rFonts w:hint="eastAsia" w:ascii="宋体" w:hAnsi="宋体" w:cs="宋体"/>
                <w:color w:val="000000"/>
                <w:szCs w:val="21"/>
                <w:lang w:val="en-US" w:eastAsia="zh-CN"/>
              </w:rPr>
              <w:t>套</w:t>
            </w:r>
          </w:p>
        </w:tc>
        <w:tc>
          <w:tcPr>
            <w:tcW w:w="714" w:type="pct"/>
            <w:noWrap/>
            <w:vAlign w:val="center"/>
          </w:tcPr>
          <w:p>
            <w:pPr>
              <w:topLinePunct/>
              <w:contextualSpacing/>
              <w:jc w:val="center"/>
              <w:rPr>
                <w:rFonts w:ascii="宋体" w:hAnsi="宋体" w:cs="宋体"/>
                <w:color w:val="000000"/>
                <w:szCs w:val="21"/>
              </w:rPr>
            </w:pPr>
            <w:r>
              <w:rPr>
                <w:rFonts w:hint="eastAsia" w:ascii="宋体" w:hAnsi="宋体" w:cs="宋体"/>
                <w:color w:val="000000"/>
                <w:szCs w:val="21"/>
              </w:rPr>
              <w:t>57760元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noWrap/>
            <w:vAlign w:val="center"/>
          </w:tcPr>
          <w:p>
            <w:pPr>
              <w:topLinePunct/>
              <w:spacing w:line="360" w:lineRule="auto"/>
              <w:contextualSpacing/>
              <w:jc w:val="left"/>
              <w:rPr>
                <w:rFonts w:hint="default" w:ascii="宋体" w:hAnsi="宋体" w:eastAsia="宋体" w:cs="宋体"/>
                <w:b/>
                <w:bCs/>
                <w:szCs w:val="21"/>
                <w:lang w:val="en-US" w:eastAsia="zh-CN"/>
              </w:rPr>
            </w:pPr>
            <w:r>
              <w:rPr>
                <w:rFonts w:hint="eastAsia" w:ascii="宋体" w:hAnsi="宋体" w:cs="宋体"/>
                <w:b/>
                <w:bCs/>
                <w:szCs w:val="21"/>
                <w:highlight w:val="none"/>
                <w:lang w:val="en-US" w:eastAsia="zh-CN"/>
              </w:rPr>
              <w:t>配套设备：5台及以上视频喉镜，供货期内对视频喉镜进行维修、更换，保证采购人在供货期内正常操作设备的各种功能。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noWrap/>
            <w:vAlign w:val="center"/>
          </w:tcPr>
          <w:p>
            <w:pPr>
              <w:topLinePunct/>
              <w:spacing w:line="360" w:lineRule="auto"/>
              <w:contextualSpacing/>
              <w:jc w:val="left"/>
              <w:rPr>
                <w:rFonts w:ascii="宋体" w:hAnsi="宋体" w:cs="宋体"/>
                <w:szCs w:val="21"/>
                <w:highlight w:val="none"/>
              </w:rPr>
            </w:pPr>
            <w:bookmarkStart w:id="0" w:name="_Hlk106267351"/>
            <w:bookmarkStart w:id="1" w:name="_Hlk96158360"/>
            <w:r>
              <w:rPr>
                <w:rFonts w:hint="eastAsia" w:ascii="宋体" w:hAnsi="宋体" w:cs="宋体"/>
                <w:szCs w:val="21"/>
                <w:highlight w:val="none"/>
              </w:rPr>
              <w:t>说明：</w:t>
            </w:r>
          </w:p>
          <w:p>
            <w:pPr>
              <w:topLinePunct/>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1.投标人的投标文件必须标明所投货物的品牌与参数，保证原厂正品供货，提供相关资料等。</w:t>
            </w:r>
          </w:p>
          <w:p>
            <w:pPr>
              <w:topLinePunct/>
              <w:spacing w:line="360" w:lineRule="auto"/>
              <w:ind w:firstLine="422" w:firstLineChars="200"/>
              <w:contextualSpacing/>
              <w:jc w:val="left"/>
              <w:rPr>
                <w:rFonts w:ascii="宋体" w:hAnsi="宋体" w:cs="宋体"/>
                <w:b/>
                <w:bCs/>
                <w:szCs w:val="21"/>
                <w:highlight w:val="none"/>
              </w:rPr>
            </w:pPr>
            <w:r>
              <w:rPr>
                <w:rFonts w:hint="eastAsia" w:ascii="宋体" w:hAnsi="宋体" w:cs="宋体"/>
                <w:b/>
                <w:bCs/>
                <w:szCs w:val="21"/>
                <w:highlight w:val="none"/>
              </w:rPr>
              <w:t>2.投标人须在投标文件中提供标★项技术参数的证明文件之一（医疗器械注册证、医疗器械注册登记表、第三方检测报告、产品技术白皮书、产品使用说明书）予以证明。</w:t>
            </w:r>
          </w:p>
          <w:p>
            <w:pPr>
              <w:pStyle w:val="2"/>
              <w:widowControl/>
              <w:spacing w:line="360" w:lineRule="auto"/>
              <w:rPr>
                <w:rFonts w:hint="eastAsia" w:ascii="宋体" w:hAnsi="宋体" w:cs="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cs="宋体"/>
                <w:szCs w:val="21"/>
                <w:highlight w:val="none"/>
              </w:rPr>
              <w:t>年预估使用量仅代表医院过去一年使用估量，仅供投标人报价时参考。</w:t>
            </w:r>
          </w:p>
          <w:p>
            <w:pPr>
              <w:pStyle w:val="2"/>
              <w:widowControl/>
              <w:spacing w:line="360" w:lineRule="auto"/>
              <w:rPr>
                <w:rFonts w:hint="default" w:ascii="宋体" w:hAnsi="宋体" w:eastAsia="宋体"/>
                <w:szCs w:val="21"/>
                <w:highlight w:val="none"/>
                <w:lang w:val="en-US" w:eastAsia="zh-CN"/>
              </w:rPr>
            </w:pPr>
            <w:r>
              <w:rPr>
                <w:rFonts w:hint="eastAsia" w:ascii="宋体" w:hAnsi="宋体" w:cs="宋体"/>
                <w:b/>
                <w:bCs/>
                <w:szCs w:val="21"/>
                <w:highlight w:val="none"/>
                <w:lang w:val="en-US" w:eastAsia="zh-CN"/>
              </w:rPr>
              <w:t>4.</w:t>
            </w:r>
            <w:r>
              <w:rPr>
                <w:rFonts w:hint="eastAsia" w:ascii="宋体" w:hAnsi="宋体" w:cs="宋体"/>
                <w:b/>
                <w:bCs/>
                <w:szCs w:val="21"/>
                <w:highlight w:val="none"/>
              </w:rPr>
              <w:t>采购人将引进SPD供应链物流系统，各投标人报价中均需包含SPD供应链系统服务费。</w:t>
            </w:r>
          </w:p>
        </w:tc>
      </w:tr>
    </w:tbl>
    <w:p>
      <w:pPr>
        <w:widowControl/>
        <w:shd w:val="clear" w:color="auto" w:fill="FFFFFF"/>
        <w:spacing w:line="360" w:lineRule="auto"/>
        <w:rPr>
          <w:rFonts w:ascii="宋体" w:hAnsi="宋体" w:cs="宋体"/>
          <w:b/>
          <w:szCs w:val="21"/>
          <w:highlight w:val="none"/>
        </w:rPr>
      </w:pPr>
      <w:r>
        <w:rPr>
          <w:rFonts w:hint="eastAsia" w:ascii="宋体" w:hAnsi="宋体" w:cs="宋体"/>
          <w:b/>
          <w:szCs w:val="21"/>
          <w:highlight w:val="none"/>
        </w:rPr>
        <w:t>二、质量要求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1.投标人</w:t>
      </w:r>
      <w:r>
        <w:rPr>
          <w:rFonts w:hint="eastAsia" w:ascii="宋体" w:hAnsi="宋体" w:cs="宋体"/>
          <w:snapToGrid w:val="0"/>
          <w:szCs w:val="21"/>
          <w:highlight w:val="none"/>
        </w:rPr>
        <w:t>提供的产品其技术标准按国家标准执行，无国家标准的，按行业标准执行，无国家和行业标准的，按企业标准执行；招标文件中有特别要求的，按招标文件中规定的要求执行，并且符合相关法律、法规规定的要求。</w:t>
      </w:r>
    </w:p>
    <w:p>
      <w:pPr>
        <w:spacing w:line="360" w:lineRule="auto"/>
        <w:ind w:firstLine="420" w:firstLineChars="200"/>
        <w:rPr>
          <w:rFonts w:ascii="宋体" w:hAnsi="宋体"/>
          <w:szCs w:val="21"/>
          <w:highlight w:val="none"/>
        </w:rPr>
      </w:pPr>
      <w:r>
        <w:rPr>
          <w:rFonts w:hint="eastAsia" w:ascii="宋体" w:hAnsi="宋体" w:cs="宋体"/>
          <w:szCs w:val="21"/>
          <w:highlight w:val="none"/>
        </w:rPr>
        <w:t>2.投标人</w:t>
      </w:r>
      <w:r>
        <w:rPr>
          <w:rFonts w:hint="eastAsia" w:ascii="宋体" w:hAnsi="宋体" w:cs="宋体"/>
          <w:szCs w:val="21"/>
          <w:highlight w:val="none"/>
          <w:lang w:val="zh-CN"/>
        </w:rPr>
        <w:t>提供的货物及服务必须符合国家、省相关规定的质量标准以及采购人的相关要求。</w:t>
      </w:r>
    </w:p>
    <w:p>
      <w:pPr>
        <w:pStyle w:val="5"/>
        <w:widowControl/>
        <w:shd w:val="clear" w:color="auto" w:fill="FFFFFF"/>
        <w:spacing w:line="360" w:lineRule="auto"/>
        <w:ind w:firstLine="0" w:firstLineChars="0"/>
        <w:jc w:val="left"/>
        <w:rPr>
          <w:rFonts w:ascii="宋体" w:hAnsi="宋体" w:cs="宋体"/>
          <w:b/>
          <w:szCs w:val="21"/>
          <w:highlight w:val="none"/>
        </w:rPr>
      </w:pPr>
      <w:r>
        <w:rPr>
          <w:rFonts w:hint="eastAsia" w:ascii="宋体" w:hAnsi="宋体" w:cs="宋体"/>
          <w:b/>
          <w:szCs w:val="21"/>
          <w:highlight w:val="none"/>
        </w:rPr>
        <w:t>三、供货期</w:t>
      </w:r>
    </w:p>
    <w:p>
      <w:pPr>
        <w:spacing w:line="360" w:lineRule="auto"/>
        <w:ind w:firstLine="420" w:firstLineChars="200"/>
        <w:rPr>
          <w:rFonts w:hint="eastAsia" w:ascii="宋体" w:hAnsi="宋体" w:cs="宋体"/>
          <w:snapToGrid w:val="0"/>
          <w:szCs w:val="21"/>
          <w:highlight w:val="none"/>
        </w:rPr>
      </w:pPr>
      <w:r>
        <w:rPr>
          <w:rFonts w:hint="eastAsia" w:ascii="宋体" w:hAnsi="宋体" w:cs="宋体"/>
          <w:snapToGrid w:val="0"/>
          <w:szCs w:val="21"/>
          <w:highlight w:val="none"/>
        </w:rPr>
        <w:t>自合同签订之日起一年或采购费用总额达到中标总价时，以先到者为准，在供货期内按照采购人的要求分批供货，按账期据实结算。</w:t>
      </w:r>
    </w:p>
    <w:p>
      <w:pPr>
        <w:shd w:val="clear" w:color="auto" w:fill="FFFFFF"/>
        <w:spacing w:line="360" w:lineRule="auto"/>
        <w:contextualSpacing/>
        <w:rPr>
          <w:rFonts w:ascii="宋体" w:hAnsi="宋体" w:cs="宋体"/>
          <w:b/>
          <w:szCs w:val="21"/>
          <w:highlight w:val="none"/>
        </w:rPr>
      </w:pPr>
      <w:r>
        <w:rPr>
          <w:rFonts w:hint="eastAsia" w:ascii="宋体" w:hAnsi="宋体" w:cs="宋体"/>
          <w:b/>
          <w:bCs/>
          <w:szCs w:val="21"/>
          <w:highlight w:val="none"/>
        </w:rPr>
        <w:t>四、</w:t>
      </w:r>
      <w:r>
        <w:rPr>
          <w:rFonts w:hint="eastAsia" w:ascii="宋体" w:hAnsi="宋体" w:cs="宋体"/>
          <w:b/>
          <w:szCs w:val="21"/>
          <w:highlight w:val="none"/>
        </w:rPr>
        <w:t>售后服务</w:t>
      </w:r>
    </w:p>
    <w:p>
      <w:pPr>
        <w:shd w:val="clear" w:color="auto" w:fill="FFFFFF"/>
        <w:spacing w:line="360" w:lineRule="auto"/>
        <w:ind w:firstLine="420" w:firstLineChars="200"/>
        <w:contextualSpacing/>
        <w:rPr>
          <w:rFonts w:ascii="宋体" w:hAnsi="宋体" w:cs="宋体"/>
          <w:snapToGrid w:val="0"/>
          <w:szCs w:val="21"/>
          <w:highlight w:val="none"/>
        </w:rPr>
      </w:pPr>
      <w:r>
        <w:rPr>
          <w:rFonts w:hint="eastAsia" w:ascii="宋体" w:hAnsi="宋体" w:cs="宋体"/>
          <w:snapToGrid w:val="0"/>
          <w:szCs w:val="21"/>
          <w:highlight w:val="none"/>
        </w:rPr>
        <w:t>依据商品的售后服务条款，投标人</w:t>
      </w:r>
      <w:r>
        <w:rPr>
          <w:rFonts w:hint="eastAsia" w:ascii="宋体" w:hAnsi="宋体" w:cs="宋体"/>
          <w:color w:val="000000"/>
          <w:szCs w:val="21"/>
          <w:highlight w:val="none"/>
        </w:rPr>
        <w:t>应负责产品的质量，如出现问题，接到采购方通知后1小时内给予响应并应负责包退、包换，并承担因产品质量问题导致的一切后果</w:t>
      </w:r>
      <w:r>
        <w:rPr>
          <w:rFonts w:hint="eastAsia" w:ascii="宋体" w:hAnsi="宋体" w:cs="宋体"/>
          <w:snapToGrid w:val="0"/>
          <w:szCs w:val="21"/>
          <w:highlight w:val="none"/>
        </w:rPr>
        <w:t>。</w:t>
      </w:r>
    </w:p>
    <w:p>
      <w:pPr>
        <w:spacing w:line="360" w:lineRule="auto"/>
        <w:jc w:val="left"/>
        <w:rPr>
          <w:rFonts w:ascii="宋体" w:hAnsi="宋体" w:cs="宋体"/>
          <w:b/>
          <w:bCs/>
          <w:snapToGrid w:val="0"/>
          <w:szCs w:val="21"/>
          <w:highlight w:val="none"/>
        </w:rPr>
      </w:pPr>
      <w:r>
        <w:rPr>
          <w:rFonts w:hint="eastAsia" w:ascii="宋体" w:hAnsi="宋体" w:cs="宋体"/>
          <w:b/>
          <w:bCs/>
          <w:snapToGrid w:val="0"/>
          <w:szCs w:val="21"/>
          <w:highlight w:val="none"/>
        </w:rPr>
        <w:t>五、报价要求</w:t>
      </w:r>
    </w:p>
    <w:p>
      <w:pPr>
        <w:spacing w:line="360" w:lineRule="auto"/>
        <w:ind w:firstLine="420" w:firstLineChars="200"/>
        <w:jc w:val="left"/>
        <w:rPr>
          <w:rFonts w:ascii="宋体" w:hAnsi="宋体" w:cs="宋体"/>
          <w:szCs w:val="21"/>
        </w:rPr>
      </w:pPr>
      <w:r>
        <w:rPr>
          <w:rFonts w:hint="eastAsia" w:ascii="宋体" w:hAnsi="宋体" w:cs="宋体"/>
          <w:bCs/>
          <w:snapToGrid w:val="0"/>
          <w:szCs w:val="21"/>
          <w:highlight w:val="none"/>
        </w:rPr>
        <w:t>投标人按总价进行报价，</w:t>
      </w:r>
      <w:r>
        <w:rPr>
          <w:rFonts w:hint="eastAsia" w:ascii="宋体" w:hAnsi="宋体" w:cs="宋体"/>
          <w:szCs w:val="21"/>
          <w:highlight w:val="none"/>
        </w:rPr>
        <w:t>其报价应包括但不限于产品费用、运费(多次分批量送货，含装卸力资）、税费、</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hint="eastAsia" w:ascii="宋体" w:hAnsi="宋体" w:cs="宋体"/>
          <w:szCs w:val="21"/>
          <w:highlight w:val="none"/>
        </w:rPr>
        <w:t>保险费、仓储费、包装费、</w:t>
      </w:r>
      <w:r>
        <w:rPr>
          <w:rFonts w:hint="eastAsia" w:ascii="宋体" w:hAnsi="宋体" w:cs="宋体"/>
          <w:b/>
          <w:bCs/>
          <w:szCs w:val="21"/>
          <w:highlight w:val="none"/>
        </w:rPr>
        <w:t>SPD供应链系统服务费</w:t>
      </w:r>
      <w:r>
        <w:rPr>
          <w:rFonts w:hint="eastAsia" w:ascii="宋体" w:hAnsi="宋体" w:cs="宋体"/>
          <w:b/>
          <w:bCs/>
          <w:szCs w:val="21"/>
          <w:highlight w:val="none"/>
          <w:lang w:eastAsia="zh-CN"/>
        </w:rPr>
        <w:t>、</w:t>
      </w:r>
      <w:r>
        <w:rPr>
          <w:rFonts w:hint="eastAsia" w:ascii="宋体" w:hAnsi="宋体" w:cs="宋体"/>
          <w:bCs/>
          <w:szCs w:val="21"/>
          <w:highlight w:val="none"/>
        </w:rPr>
        <w:t>售后</w:t>
      </w:r>
      <w:r>
        <w:rPr>
          <w:rFonts w:hint="eastAsia" w:ascii="宋体" w:hAnsi="宋体" w:cs="宋体"/>
          <w:bCs/>
          <w:szCs w:val="21"/>
        </w:rPr>
        <w:t>服务以及</w:t>
      </w:r>
      <w:r>
        <w:rPr>
          <w:rFonts w:hint="eastAsia" w:ascii="宋体" w:hAnsi="宋体" w:cs="宋体"/>
          <w:szCs w:val="21"/>
        </w:rPr>
        <w:t>为完成本项目所必须的其他辅助工作的相关费用等所有费用</w:t>
      </w:r>
      <w:r>
        <w:rPr>
          <w:rFonts w:hint="eastAsia" w:ascii="宋体" w:hAnsi="宋体" w:cs="宋体"/>
          <w:szCs w:val="21"/>
          <w:lang w:eastAsia="zh-CN"/>
        </w:rPr>
        <w:t>，</w:t>
      </w:r>
      <w:r>
        <w:rPr>
          <w:rFonts w:hint="eastAsia" w:ascii="宋体" w:hAnsi="宋体" w:cs="宋体"/>
          <w:b/>
          <w:bCs/>
          <w:szCs w:val="21"/>
          <w:lang w:eastAsia="zh-CN"/>
        </w:rPr>
        <w:t>供货期内的视频喉镜的设备费用及维修更换费用等应包含在插管套件费用内，投标人需综合考虑此部分费用</w:t>
      </w:r>
      <w:r>
        <w:rPr>
          <w:rFonts w:hint="eastAsia" w:ascii="宋体" w:hAnsi="宋体" w:cs="宋体"/>
          <w:szCs w:val="21"/>
          <w:lang w:eastAsia="zh-CN"/>
        </w:rPr>
        <w:t>，进行合理报价</w:t>
      </w:r>
      <w:r>
        <w:rPr>
          <w:rFonts w:hint="eastAsia" w:ascii="宋体" w:hAnsi="宋体" w:cs="宋体"/>
          <w:szCs w:val="21"/>
        </w:rPr>
        <w:t>。一旦中标，中标单价后期将不作任何调整。</w:t>
      </w:r>
    </w:p>
    <w:p>
      <w:pPr>
        <w:spacing w:line="360" w:lineRule="auto"/>
        <w:jc w:val="left"/>
        <w:rPr>
          <w:rFonts w:ascii="宋体" w:hAnsi="宋体" w:cs="宋体"/>
          <w:b/>
          <w:szCs w:val="21"/>
        </w:rPr>
      </w:pPr>
      <w:r>
        <w:rPr>
          <w:rFonts w:hint="eastAsia" w:ascii="宋体" w:hAnsi="宋体" w:cs="宋体"/>
          <w:b/>
          <w:szCs w:val="21"/>
        </w:rPr>
        <w:t>六、其他要求</w:t>
      </w:r>
    </w:p>
    <w:p>
      <w:pPr>
        <w:pStyle w:val="2"/>
        <w:spacing w:line="360" w:lineRule="auto"/>
        <w:ind w:firstLineChars="200"/>
        <w:rPr>
          <w:rFonts w:ascii="宋体" w:hAnsi="宋体" w:cs="宋体"/>
          <w:szCs w:val="21"/>
        </w:rPr>
      </w:pPr>
      <w:r>
        <w:rPr>
          <w:rFonts w:hint="eastAsia" w:ascii="宋体" w:hAnsi="宋体" w:cs="宋体"/>
          <w:szCs w:val="21"/>
        </w:rPr>
        <w:t>1.供货及时周到，产品质量或外包装不符合国家规定标准的应及时退、换货。</w:t>
      </w:r>
    </w:p>
    <w:p>
      <w:pPr>
        <w:pStyle w:val="2"/>
        <w:spacing w:line="360" w:lineRule="auto"/>
        <w:ind w:firstLineChars="200"/>
        <w:rPr>
          <w:rFonts w:ascii="宋体" w:hAnsi="宋体" w:cs="宋体"/>
          <w:szCs w:val="21"/>
        </w:rPr>
      </w:pPr>
      <w:r>
        <w:rPr>
          <w:rFonts w:hint="eastAsia" w:ascii="宋体" w:hAnsi="宋体" w:cs="宋体"/>
          <w:szCs w:val="21"/>
        </w:rPr>
        <w:t>2.质保期需执行厂家质保，产品生产日期要求近期（距离有效期或使用期限到期时间不得超过三分之一时间），如发现有接近失效期的产品，采购人有权要求中标人在规定期限内更换成近期产品。</w:t>
      </w:r>
    </w:p>
    <w:p>
      <w:pPr>
        <w:spacing w:line="360" w:lineRule="auto"/>
        <w:ind w:firstLine="420" w:firstLineChars="200"/>
        <w:rPr>
          <w:rFonts w:ascii="宋体" w:hAnsi="宋体" w:cs="宋体"/>
          <w:szCs w:val="21"/>
        </w:rPr>
      </w:pPr>
      <w:r>
        <w:rPr>
          <w:rFonts w:hint="eastAsia" w:ascii="宋体" w:hAnsi="宋体"/>
          <w:szCs w:val="21"/>
        </w:rPr>
        <w:t>3.中标人</w:t>
      </w:r>
      <w:r>
        <w:rPr>
          <w:rFonts w:hint="eastAsia" w:ascii="宋体" w:hAnsi="宋体" w:cs="宋体"/>
          <w:szCs w:val="21"/>
        </w:rPr>
        <w:t>所提供的产品须满足采购人需求。若中标人中标后提供的货物不能满足要求的需无条件免费更换。若中标人不予更换的，采购人有权解除合同，且不予支付货款。给采购人造成损失的还应予以赔偿。</w:t>
      </w:r>
    </w:p>
    <w:p>
      <w:pPr>
        <w:shd w:val="clear" w:color="auto" w:fill="FFFFFF"/>
        <w:spacing w:line="360" w:lineRule="auto"/>
        <w:contextualSpacing/>
        <w:rPr>
          <w:rFonts w:ascii="宋体" w:hAnsi="宋体" w:cs="宋体"/>
          <w:b/>
          <w:snapToGrid w:val="0"/>
          <w:szCs w:val="21"/>
        </w:rPr>
      </w:pPr>
      <w:r>
        <w:rPr>
          <w:rFonts w:hint="eastAsia" w:ascii="宋体" w:hAnsi="宋体" w:cs="宋体"/>
          <w:b/>
          <w:szCs w:val="21"/>
        </w:rPr>
        <w:t>七、付款方式</w:t>
      </w:r>
    </w:p>
    <w:bookmarkEnd w:id="0"/>
    <w:bookmarkEnd w:id="1"/>
    <w:p>
      <w:pPr>
        <w:spacing w:line="360" w:lineRule="auto"/>
        <w:ind w:firstLine="420" w:firstLineChars="200"/>
        <w:jc w:val="left"/>
        <w:rPr>
          <w:rFonts w:ascii="宋体" w:hAnsi="宋体" w:cs="宋体"/>
          <w:bCs/>
          <w:szCs w:val="21"/>
        </w:rPr>
      </w:pPr>
      <w:r>
        <w:rPr>
          <w:rFonts w:hint="eastAsia" w:ascii="宋体" w:hAnsi="宋体" w:cs="宋体"/>
          <w:bCs/>
          <w:szCs w:val="21"/>
        </w:rPr>
        <w:t>1.结算原则：结算时按实际供货量进行结算。其结算价=实际供货数量*中标单价。</w:t>
      </w:r>
    </w:p>
    <w:p>
      <w:pPr>
        <w:spacing w:line="360" w:lineRule="auto"/>
        <w:ind w:firstLine="420" w:firstLineChars="200"/>
        <w:rPr>
          <w:rFonts w:ascii="宋体" w:hAnsi="宋体" w:cs="宋体"/>
          <w:snapToGrid w:val="0"/>
          <w:kern w:val="0"/>
          <w:szCs w:val="21"/>
        </w:rPr>
      </w:pPr>
      <w:r>
        <w:rPr>
          <w:rFonts w:hint="eastAsia" w:ascii="宋体" w:hAnsi="宋体" w:cs="宋体"/>
          <w:bCs/>
          <w:szCs w:val="21"/>
        </w:rPr>
        <w:t>2.</w:t>
      </w:r>
      <w:r>
        <w:rPr>
          <w:rFonts w:hint="eastAsia" w:ascii="宋体" w:hAnsi="宋体" w:cs="宋体"/>
          <w:snapToGrid w:val="0"/>
          <w:kern w:val="0"/>
          <w:szCs w:val="21"/>
        </w:rPr>
        <w:t>按批次付款，每批次供货完成且经采购人验收合格后按安庆市中医医院财务管理制度付款。付款凭正式税务发票，发票需由中标人开具。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0E121B4"/>
    <w:rsid w:val="00E121B4"/>
    <w:rsid w:val="197E4C62"/>
    <w:rsid w:val="1DE2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2024-02-29T00:46:00Z</dcterms:created>
  <dc:creator>兔子爱上了窝边草</dc:creator>
  <cp:lastModifiedBy>无名</cp:lastModifiedBy>
  <dcterms:modified xsi:type="dcterms:W3CDTF">2024-03-20T05:58:26Z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CA43C4516B3B476AAD1BACC0692A8FEE_13</vt:lpwstr>
  </property>
</Properties>
</file>