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宋体" w:hAnsi="宋体" w:cs="宋体"/>
          <w:color w:val="auto"/>
          <w:szCs w:val="32"/>
          <w:highlight w:val="none"/>
        </w:rPr>
      </w:pPr>
      <w:r>
        <w:rPr>
          <w:rFonts w:hint="eastAsia" w:ascii="宋体" w:hAnsi="宋体" w:cs="宋体"/>
          <w:color w:val="auto"/>
          <w:szCs w:val="32"/>
          <w:highlight w:val="none"/>
        </w:rPr>
        <w:t>采购需求</w:t>
      </w:r>
    </w:p>
    <w:p>
      <w:pPr>
        <w:snapToGrid w:val="0"/>
        <w:spacing w:line="480" w:lineRule="exact"/>
        <w:ind w:firstLine="422" w:firstLineChars="200"/>
        <w:rPr>
          <w:rFonts w:hint="eastAsia" w:ascii="宋体" w:hAnsi="宋体" w:eastAsia="宋体" w:cs="宋体"/>
          <w:b/>
          <w:bCs/>
          <w:color w:val="auto"/>
          <w:szCs w:val="21"/>
          <w:highlight w:val="none"/>
          <w:shd w:val="clear" w:color="auto" w:fill="FFFFFF"/>
          <w:lang w:eastAsia="zh-CN"/>
        </w:rPr>
      </w:pPr>
      <w:bookmarkStart w:id="0" w:name="_Toc59699104"/>
      <w:bookmarkStart w:id="1" w:name="_Toc7241"/>
      <w:r>
        <w:rPr>
          <w:rFonts w:hint="eastAsia" w:ascii="宋体" w:hAnsi="宋体" w:cs="宋体"/>
          <w:b/>
          <w:bCs/>
          <w:color w:val="auto"/>
          <w:szCs w:val="21"/>
          <w:highlight w:val="none"/>
          <w:shd w:val="clear" w:color="auto" w:fill="FFFFFF"/>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napToGrid w:val="0"/>
        <w:spacing w:line="480" w:lineRule="exact"/>
        <w:ind w:firstLine="420" w:firstLineChars="200"/>
        <w:rPr>
          <w:rStyle w:val="12"/>
          <w:rFonts w:hint="eastAsia" w:hAnsi="宋体" w:eastAsia="宋体"/>
          <w:b/>
          <w:color w:val="auto"/>
          <w:highlight w:val="none"/>
          <w:lang w:eastAsia="zh-CN"/>
        </w:rPr>
      </w:pPr>
      <w:r>
        <w:rPr>
          <w:rFonts w:hint="eastAsia" w:ascii="sans-serif" w:hAnsi="sans-serif" w:cs="sans-serif"/>
          <w:color w:val="auto"/>
          <w:szCs w:val="21"/>
          <w:highlight w:val="none"/>
          <w:shd w:val="clear" w:color="auto" w:fill="FFFFFF"/>
        </w:rPr>
        <w:t xml:space="preserve">    </w:t>
      </w:r>
      <w:r>
        <w:rPr>
          <w:rStyle w:val="12"/>
          <w:rFonts w:hint="eastAsia" w:hAnsi="宋体"/>
          <w:b/>
          <w:color w:val="auto"/>
          <w:highlight w:val="none"/>
        </w:rPr>
        <w:t>一</w:t>
      </w:r>
      <w:r>
        <w:rPr>
          <w:rStyle w:val="12"/>
          <w:rFonts w:hAnsi="宋体"/>
          <w:b/>
          <w:color w:val="auto"/>
          <w:highlight w:val="none"/>
        </w:rPr>
        <w:t>、</w:t>
      </w:r>
      <w:r>
        <w:rPr>
          <w:rStyle w:val="12"/>
          <w:rFonts w:hint="eastAsia" w:hAnsi="宋体"/>
          <w:b/>
          <w:color w:val="auto"/>
          <w:highlight w:val="none"/>
        </w:rPr>
        <w:t>采购内容</w:t>
      </w:r>
    </w:p>
    <w:p>
      <w:pPr>
        <w:snapToGrid w:val="0"/>
        <w:spacing w:line="480" w:lineRule="exact"/>
        <w:ind w:firstLine="422" w:firstLineChars="200"/>
        <w:rPr>
          <w:rStyle w:val="12"/>
          <w:rFonts w:hint="default" w:hAnsi="宋体" w:eastAsia="宋体"/>
          <w:b/>
          <w:color w:val="auto"/>
          <w:highlight w:val="none"/>
          <w:lang w:val="en-US" w:eastAsia="zh-CN"/>
        </w:rPr>
      </w:pPr>
      <w:r>
        <w:rPr>
          <w:rStyle w:val="12"/>
          <w:rFonts w:hint="eastAsia" w:hAnsi="宋体"/>
          <w:b/>
          <w:color w:val="auto"/>
          <w:highlight w:val="none"/>
          <w:lang w:val="en-US" w:eastAsia="zh-CN"/>
        </w:rPr>
        <w:t xml:space="preserve">    1、主要技术参数要求</w:t>
      </w:r>
    </w:p>
    <w:tbl>
      <w:tblPr>
        <w:tblStyle w:val="9"/>
        <w:tblW w:w="5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1346"/>
        <w:gridCol w:w="4495"/>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78" w:type="pct"/>
            <w:noWrap w:val="0"/>
            <w:vAlign w:val="center"/>
          </w:tcPr>
          <w:p>
            <w:pPr>
              <w:pStyle w:val="6"/>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716" w:type="pct"/>
            <w:noWrap w:val="0"/>
            <w:vAlign w:val="center"/>
          </w:tcPr>
          <w:p>
            <w:pPr>
              <w:pStyle w:val="6"/>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货物名称</w:t>
            </w:r>
          </w:p>
        </w:tc>
        <w:tc>
          <w:tcPr>
            <w:tcW w:w="2391" w:type="pct"/>
            <w:noWrap w:val="0"/>
            <w:vAlign w:val="center"/>
          </w:tcPr>
          <w:p>
            <w:pPr>
              <w:pStyle w:val="6"/>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技术要求</w:t>
            </w:r>
          </w:p>
        </w:tc>
        <w:tc>
          <w:tcPr>
            <w:tcW w:w="1513" w:type="pct"/>
            <w:noWrap w:val="0"/>
            <w:vAlign w:val="center"/>
          </w:tcPr>
          <w:p>
            <w:pPr>
              <w:pStyle w:val="6"/>
              <w:spacing w:line="36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378"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716" w:type="pct"/>
            <w:noWrap w:val="0"/>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窗帘</w:t>
            </w:r>
          </w:p>
        </w:tc>
        <w:tc>
          <w:tcPr>
            <w:tcW w:w="2391" w:type="pct"/>
            <w:noWrap w:val="0"/>
            <w:vAlign w:val="center"/>
          </w:tcPr>
          <w:p>
            <w:pPr>
              <w:pStyle w:val="6"/>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rPr>
              <w:t>1、材质：聚酯纤维、粘胶纤维、氨纶等复合材质；</w:t>
            </w:r>
          </w:p>
          <w:p>
            <w:pPr>
              <w:pStyle w:val="6"/>
              <w:spacing w:line="360" w:lineRule="auto"/>
              <w:jc w:val="left"/>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rPr>
              <w:t>2、品种：植绒遮</w:t>
            </w:r>
            <w:r>
              <w:rPr>
                <w:rFonts w:hint="eastAsia" w:ascii="宋体" w:hAnsi="宋体" w:eastAsia="宋体" w:cs="宋体"/>
                <w:color w:val="auto"/>
                <w:sz w:val="21"/>
                <w:szCs w:val="21"/>
                <w:highlight w:val="none"/>
              </w:rPr>
              <w:t>光布帘，遮光率60-80%左右</w:t>
            </w:r>
            <w:r>
              <w:rPr>
                <w:rFonts w:hint="eastAsia" w:ascii="宋体" w:hAnsi="宋体" w:eastAsia="宋体" w:cs="宋体"/>
                <w:color w:val="auto"/>
                <w:sz w:val="21"/>
                <w:szCs w:val="21"/>
                <w:highlight w:val="none"/>
                <w:lang w:eastAsia="zh-CN"/>
              </w:rPr>
              <w:t>；</w:t>
            </w:r>
          </w:p>
          <w:p>
            <w:pPr>
              <w:pStyle w:val="6"/>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3、功能：遮光、隔热、隔音；</w:t>
            </w:r>
          </w:p>
          <w:p>
            <w:pPr>
              <w:pStyle w:val="6"/>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4、可水洗、机洗、缩水率≤4%；耐洗色牢度：抗污度5级、色牢度5级、色泽纯正；异味：无异味；</w:t>
            </w:r>
          </w:p>
          <w:p>
            <w:pPr>
              <w:pStyle w:val="6"/>
              <w:spacing w:line="360" w:lineRule="auto"/>
              <w:jc w:val="left"/>
              <w:rPr>
                <w:rFonts w:hint="eastAsia" w:hAnsi="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、依据GB 18401-2010《国家纺织产品基本安全技术规范》PH值：5.5-6.5；可分解致癌芳香胺染料：GB/T17952-2011不能测出有致癌物质</w:t>
            </w:r>
            <w:r>
              <w:rPr>
                <w:rFonts w:hint="eastAsia" w:hAnsi="宋体" w:cs="宋体"/>
                <w:color w:val="auto"/>
                <w:sz w:val="21"/>
                <w:szCs w:val="21"/>
                <w:highlight w:val="none"/>
              </w:rPr>
              <w:t>；甲醛含量：≤300（C类），不能检出；</w:t>
            </w:r>
          </w:p>
          <w:p>
            <w:pPr>
              <w:pStyle w:val="6"/>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、门幅2.8米，紫外线阻挡率≥98%，克重≥280/m2；</w:t>
            </w:r>
          </w:p>
          <w:p>
            <w:pPr>
              <w:pStyle w:val="6"/>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lang w:val="en-US" w:eastAsia="zh-CN"/>
              </w:rPr>
              <w:t>7</w:t>
            </w:r>
            <w:r>
              <w:rPr>
                <w:rFonts w:hint="eastAsia" w:hAnsi="宋体" w:cs="宋体"/>
                <w:color w:val="auto"/>
                <w:sz w:val="21"/>
                <w:szCs w:val="21"/>
                <w:highlight w:val="none"/>
              </w:rPr>
              <w:t>、按1:2皱褶制作；</w:t>
            </w:r>
          </w:p>
          <w:p>
            <w:pPr>
              <w:pStyle w:val="6"/>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lang w:val="en-US" w:eastAsia="zh-CN"/>
              </w:rPr>
              <w:t>8</w:t>
            </w:r>
            <w:r>
              <w:rPr>
                <w:rFonts w:hint="eastAsia" w:hAnsi="宋体" w:cs="宋体"/>
                <w:color w:val="auto"/>
                <w:sz w:val="21"/>
                <w:szCs w:val="21"/>
                <w:highlight w:val="none"/>
              </w:rPr>
              <w:t>、提供所投产品小样。</w:t>
            </w:r>
          </w:p>
        </w:tc>
        <w:tc>
          <w:tcPr>
            <w:tcW w:w="1513" w:type="pct"/>
            <w:noWrap w:val="0"/>
            <w:vAlign w:val="center"/>
          </w:tcPr>
          <w:p>
            <w:pPr>
              <w:numPr>
                <w:ilvl w:val="0"/>
                <w:numId w:val="0"/>
              </w:numPr>
              <w:tabs>
                <w:tab w:val="center" w:pos="331"/>
              </w:tabs>
              <w:spacing w:line="360" w:lineRule="auto"/>
              <w:jc w:val="left"/>
              <w:rPr>
                <w:rFonts w:hint="eastAsia" w:ascii="宋体" w:hAnsi="宋体" w:eastAsia="宋体" w:cs="宋体"/>
                <w:color w:val="auto"/>
                <w:kern w:val="0"/>
                <w:sz w:val="21"/>
                <w:szCs w:val="21"/>
                <w:highlight w:val="none"/>
                <w:lang w:val="en-US" w:eastAsia="zh-CN" w:bidi="ar-SA"/>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INCLUDEPICTURE \d "http://img1.bmlink.com/big/default/2012/3/2/11/223249656717875.jpg" \* MERGEFORMATINET </w:instrText>
            </w:r>
            <w:r>
              <w:rPr>
                <w:rFonts w:ascii="宋体" w:hAnsi="宋体" w:cs="宋体"/>
                <w:color w:val="auto"/>
                <w:sz w:val="21"/>
                <w:szCs w:val="21"/>
                <w:highlight w:val="none"/>
              </w:rPr>
              <w:fldChar w:fldCharType="separate"/>
            </w:r>
            <w:r>
              <w:rPr>
                <w:rFonts w:ascii="宋体" w:hAnsi="宋体" w:cs="宋体"/>
                <w:color w:val="auto"/>
                <w:sz w:val="21"/>
                <w:szCs w:val="21"/>
                <w:highlight w:val="none"/>
              </w:rPr>
              <w:drawing>
                <wp:inline distT="0" distB="0" distL="114300" distR="114300">
                  <wp:extent cx="1647825" cy="2308860"/>
                  <wp:effectExtent l="0" t="0" r="1333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647825" cy="2308860"/>
                          </a:xfrm>
                          <a:prstGeom prst="rect">
                            <a:avLst/>
                          </a:prstGeom>
                          <a:noFill/>
                          <a:ln>
                            <a:noFill/>
                          </a:ln>
                        </pic:spPr>
                      </pic:pic>
                    </a:graphicData>
                  </a:graphic>
                </wp:inline>
              </w:drawing>
            </w:r>
            <w:r>
              <w:rPr>
                <w:rFonts w:ascii="宋体" w:hAnsi="宋体" w:cs="宋体"/>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378"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716" w:type="pct"/>
            <w:noWrap w:val="0"/>
            <w:vAlign w:val="center"/>
          </w:tcPr>
          <w:p>
            <w:pPr>
              <w:spacing w:line="360" w:lineRule="auto"/>
              <w:jc w:val="center"/>
              <w:rPr>
                <w:rFonts w:ascii="宋体" w:hAnsi="宋体"/>
                <w:color w:val="auto"/>
                <w:sz w:val="21"/>
                <w:szCs w:val="21"/>
                <w:highlight w:val="none"/>
              </w:rPr>
            </w:pPr>
            <w:r>
              <w:rPr>
                <w:rFonts w:hint="eastAsia" w:ascii="宋体" w:hAnsi="宋体" w:cs="宋体"/>
                <w:color w:val="auto"/>
                <w:sz w:val="21"/>
                <w:szCs w:val="21"/>
                <w:highlight w:val="none"/>
              </w:rPr>
              <w:t>铝合金罗马杆</w:t>
            </w:r>
          </w:p>
        </w:tc>
        <w:tc>
          <w:tcPr>
            <w:tcW w:w="2391" w:type="pct"/>
            <w:noWrap w:val="0"/>
            <w:vAlign w:val="center"/>
          </w:tcPr>
          <w:p>
            <w:pPr>
              <w:pStyle w:val="6"/>
              <w:spacing w:line="360" w:lineRule="auto"/>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1、材质：采用100%铝合金材质，表面烤漆；</w:t>
            </w:r>
          </w:p>
          <w:p>
            <w:pPr>
              <w:pStyle w:val="6"/>
              <w:spacing w:line="360" w:lineRule="auto"/>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2、颜色：白色；</w:t>
            </w:r>
          </w:p>
          <w:p>
            <w:pPr>
              <w:pStyle w:val="6"/>
              <w:spacing w:line="360" w:lineRule="auto"/>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3、壁厚：≥1.5mm</w:t>
            </w:r>
            <w:r>
              <w:rPr>
                <w:rFonts w:hint="eastAsia" w:hAnsi="宋体" w:cs="宋体"/>
                <w:color w:val="auto"/>
                <w:sz w:val="21"/>
                <w:szCs w:val="21"/>
                <w:highlight w:val="none"/>
                <w:lang w:eastAsia="zh-CN"/>
              </w:rPr>
              <w:t>；</w:t>
            </w:r>
          </w:p>
          <w:p>
            <w:pPr>
              <w:pStyle w:val="6"/>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rPr>
              <w:t>4、耐磨性能强，冲击强度优，且能在90℃下保持不变，激光防伪雕刻，精湛电泳工艺处理；耐用手滑平稳、抗静电弯曲不变形，耐久性优越；优良的耐化学药品性，润滑度：一级静音、消音性好，摩擦系数低≤0.2。</w:t>
            </w:r>
          </w:p>
        </w:tc>
        <w:tc>
          <w:tcPr>
            <w:tcW w:w="1513" w:type="pct"/>
            <w:noWrap w:val="0"/>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drawing>
                <wp:inline distT="0" distB="0" distL="114300" distR="114300">
                  <wp:extent cx="894715" cy="2345055"/>
                  <wp:effectExtent l="0" t="0" r="4445" b="1905"/>
                  <wp:docPr id="2" name="图片 2" descr="e6059d1e349e0acdb74c5012ce9c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059d1e349e0acdb74c5012ce9cf55"/>
                          <pic:cNvPicPr>
                            <a:picLocks noChangeAspect="1"/>
                          </pic:cNvPicPr>
                        </pic:nvPicPr>
                        <pic:blipFill>
                          <a:blip r:embed="rId6"/>
                          <a:srcRect l="21437" r="26375" b="11703"/>
                          <a:stretch>
                            <a:fillRect/>
                          </a:stretch>
                        </pic:blipFill>
                        <pic:spPr>
                          <a:xfrm>
                            <a:off x="0" y="0"/>
                            <a:ext cx="894715" cy="23450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8" w:hRule="atLeast"/>
          <w:jc w:val="center"/>
        </w:trPr>
        <w:tc>
          <w:tcPr>
            <w:tcW w:w="378" w:type="pct"/>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716" w:type="pct"/>
            <w:noWrap w:val="0"/>
            <w:vAlign w:val="center"/>
          </w:tcPr>
          <w:p>
            <w:pPr>
              <w:adjustRightInd w:val="0"/>
              <w:snapToGrid w:val="0"/>
              <w:spacing w:line="360" w:lineRule="auto"/>
              <w:jc w:val="center"/>
              <w:rPr>
                <w:rFonts w:hint="eastAsia" w:ascii="宋体" w:hAnsi="宋体" w:cs="宋体"/>
                <w:color w:val="auto"/>
                <w:sz w:val="21"/>
                <w:szCs w:val="21"/>
                <w:highlight w:val="none"/>
              </w:rPr>
            </w:pPr>
          </w:p>
          <w:p>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定型布带</w:t>
            </w:r>
          </w:p>
          <w:p>
            <w:pPr>
              <w:adjustRightInd w:val="0"/>
              <w:snapToGrid w:val="0"/>
              <w:spacing w:line="360" w:lineRule="auto"/>
              <w:jc w:val="center"/>
              <w:rPr>
                <w:rFonts w:ascii="宋体" w:hAnsi="宋体"/>
                <w:color w:val="auto"/>
                <w:sz w:val="21"/>
                <w:szCs w:val="21"/>
                <w:highlight w:val="none"/>
              </w:rPr>
            </w:pPr>
          </w:p>
        </w:tc>
        <w:tc>
          <w:tcPr>
            <w:tcW w:w="2391" w:type="pct"/>
            <w:noWrap w:val="0"/>
            <w:vAlign w:val="center"/>
          </w:tcPr>
          <w:p>
            <w:pPr>
              <w:pStyle w:val="6"/>
              <w:spacing w:line="360" w:lineRule="auto"/>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1、材质：高级加密加厚全棉织布头带</w:t>
            </w:r>
            <w:r>
              <w:rPr>
                <w:rFonts w:hint="eastAsia" w:hAnsi="宋体" w:cs="宋体"/>
                <w:color w:val="auto"/>
                <w:sz w:val="21"/>
                <w:szCs w:val="21"/>
                <w:highlight w:val="none"/>
                <w:lang w:eastAsia="zh-CN"/>
              </w:rPr>
              <w:t>；</w:t>
            </w:r>
          </w:p>
          <w:p>
            <w:pPr>
              <w:pStyle w:val="6"/>
              <w:spacing w:line="360" w:lineRule="auto"/>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2、工艺：适应高频次重复洗涤，不褪色；面料布头加工平整在同一条水平线，无皱褶、无线头、无跑边，针距密度美观；满足在100°C高温下洗涤不变形，不释放任何有害化学成份</w:t>
            </w:r>
            <w:r>
              <w:rPr>
                <w:rFonts w:hint="eastAsia" w:hAnsi="宋体" w:cs="宋体"/>
                <w:color w:val="auto"/>
                <w:sz w:val="21"/>
                <w:szCs w:val="21"/>
                <w:highlight w:val="none"/>
                <w:lang w:eastAsia="zh-CN"/>
              </w:rPr>
              <w:t>；</w:t>
            </w:r>
          </w:p>
          <w:p>
            <w:pPr>
              <w:pStyle w:val="6"/>
              <w:spacing w:line="360" w:lineRule="auto"/>
              <w:jc w:val="left"/>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bidi="ar-SA"/>
              </w:rPr>
              <w:t>具体长度以窗帘实际宽度决定。</w:t>
            </w:r>
          </w:p>
        </w:tc>
        <w:tc>
          <w:tcPr>
            <w:tcW w:w="1513" w:type="pct"/>
            <w:noWrap w:val="0"/>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drawing>
                <wp:inline distT="0" distB="0" distL="114300" distR="114300">
                  <wp:extent cx="1433195" cy="1433195"/>
                  <wp:effectExtent l="0" t="0" r="14605" b="14605"/>
                  <wp:docPr id="3" name="图片 3" descr="7ad6bdc5e54dc82be36e7792a78a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d6bdc5e54dc82be36e7792a78a12e"/>
                          <pic:cNvPicPr>
                            <a:picLocks noChangeAspect="1"/>
                          </pic:cNvPicPr>
                        </pic:nvPicPr>
                        <pic:blipFill>
                          <a:blip r:embed="rId7"/>
                          <a:stretch>
                            <a:fillRect/>
                          </a:stretch>
                        </pic:blipFill>
                        <pic:spPr>
                          <a:xfrm>
                            <a:off x="0" y="0"/>
                            <a:ext cx="1433195" cy="14331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6" w:hRule="atLeast"/>
          <w:jc w:val="center"/>
        </w:trPr>
        <w:tc>
          <w:tcPr>
            <w:tcW w:w="378" w:type="pct"/>
            <w:noWrap w:val="0"/>
            <w:vAlign w:val="center"/>
          </w:tcPr>
          <w:p>
            <w:pPr>
              <w:snapToGrid w:val="0"/>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716" w:type="pct"/>
            <w:noWrap w:val="0"/>
            <w:vAlign w:val="center"/>
          </w:tcPr>
          <w:p>
            <w:pPr>
              <w:adjustRightInd w:val="0"/>
              <w:snapToGrid w:val="0"/>
              <w:spacing w:line="360" w:lineRule="auto"/>
              <w:jc w:val="center"/>
              <w:rPr>
                <w:rFonts w:hint="eastAsia" w:ascii="宋体" w:hAnsi="宋体"/>
                <w:color w:val="auto"/>
                <w:sz w:val="21"/>
                <w:szCs w:val="21"/>
                <w:highlight w:val="none"/>
              </w:rPr>
            </w:pPr>
            <w:r>
              <w:rPr>
                <w:rFonts w:hint="eastAsia" w:ascii="宋体" w:hAnsi="宋体" w:cs="宋体"/>
                <w:color w:val="auto"/>
                <w:sz w:val="21"/>
                <w:szCs w:val="21"/>
                <w:highlight w:val="none"/>
              </w:rPr>
              <w:t>艺术环</w:t>
            </w:r>
          </w:p>
        </w:tc>
        <w:tc>
          <w:tcPr>
            <w:tcW w:w="2391" w:type="pct"/>
            <w:noWrap w:val="0"/>
            <w:vAlign w:val="center"/>
          </w:tcPr>
          <w:p>
            <w:pPr>
              <w:pStyle w:val="6"/>
              <w:spacing w:line="360" w:lineRule="auto"/>
              <w:jc w:val="left"/>
              <w:rPr>
                <w:rFonts w:hint="eastAsia" w:ascii="宋体" w:hAnsi="宋体" w:eastAsia="宋体" w:cs="宋体"/>
                <w:color w:val="auto"/>
                <w:kern w:val="0"/>
                <w:sz w:val="21"/>
                <w:szCs w:val="21"/>
                <w:highlight w:val="none"/>
                <w:lang w:val="en-US" w:eastAsia="zh-CN" w:bidi="ar-SA"/>
              </w:rPr>
            </w:pPr>
            <w:r>
              <w:rPr>
                <w:rFonts w:hint="eastAsia" w:hAnsi="宋体" w:cs="宋体"/>
                <w:color w:val="auto"/>
                <w:sz w:val="21"/>
                <w:szCs w:val="21"/>
                <w:highlight w:val="none"/>
                <w:lang w:val="en-US" w:eastAsia="zh-CN"/>
              </w:rPr>
              <w:t>1、艺术环数量按照窗帘宽度确定，</w:t>
            </w:r>
            <w:r>
              <w:rPr>
                <w:rFonts w:hint="eastAsia" w:ascii="宋体" w:hAnsi="宋体" w:eastAsia="宋体" w:cs="宋体"/>
                <w:color w:val="auto"/>
                <w:kern w:val="0"/>
                <w:sz w:val="21"/>
                <w:szCs w:val="21"/>
                <w:highlight w:val="none"/>
                <w:lang w:val="en-US" w:eastAsia="zh-CN" w:bidi="ar-SA"/>
              </w:rPr>
              <w:t>每米安装不少于6个艺术环；</w:t>
            </w:r>
          </w:p>
          <w:p>
            <w:pPr>
              <w:pStyle w:val="6"/>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要求静音效果好，经久耐用，不易损坏、不变形，符合承重要求。</w:t>
            </w:r>
          </w:p>
        </w:tc>
        <w:tc>
          <w:tcPr>
            <w:tcW w:w="1513" w:type="pct"/>
            <w:noWrap w:val="0"/>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color w:val="auto"/>
                <w:sz w:val="21"/>
                <w:szCs w:val="21"/>
                <w:highlight w:val="none"/>
              </w:rPr>
              <w:drawing>
                <wp:inline distT="0" distB="0" distL="114300" distR="114300">
                  <wp:extent cx="1549400" cy="1333500"/>
                  <wp:effectExtent l="0" t="0" r="5080" b="7620"/>
                  <wp:docPr id="4" name="图片 4" descr="6558bec14ebda5f953a2ac48828f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58bec14ebda5f953a2ac48828f2ac"/>
                          <pic:cNvPicPr>
                            <a:picLocks noChangeAspect="1"/>
                          </pic:cNvPicPr>
                        </pic:nvPicPr>
                        <pic:blipFill>
                          <a:blip r:embed="rId8"/>
                          <a:stretch>
                            <a:fillRect/>
                          </a:stretch>
                        </pic:blipFill>
                        <pic:spPr>
                          <a:xfrm>
                            <a:off x="0" y="0"/>
                            <a:ext cx="1549400" cy="1333500"/>
                          </a:xfrm>
                          <a:prstGeom prst="rect">
                            <a:avLst/>
                          </a:prstGeom>
                          <a:noFill/>
                          <a:ln>
                            <a:noFill/>
                          </a:ln>
                        </pic:spPr>
                      </pic:pic>
                    </a:graphicData>
                  </a:graphic>
                </wp:inline>
              </w:drawing>
            </w:r>
          </w:p>
        </w:tc>
      </w:tr>
    </w:tbl>
    <w:p>
      <w:pPr>
        <w:pStyle w:val="8"/>
        <w:ind w:left="0" w:leftChars="0" w:firstLine="422" w:firstLineChars="200"/>
        <w:rPr>
          <w:rStyle w:val="12"/>
          <w:rFonts w:hint="default" w:ascii="Times New Roman" w:hAnsi="宋体" w:eastAsia="宋体" w:cs="Times New Roman"/>
          <w:b/>
          <w:color w:val="auto"/>
          <w:kern w:val="2"/>
          <w:sz w:val="21"/>
          <w:szCs w:val="24"/>
          <w:highlight w:val="none"/>
          <w:lang w:val="en-US" w:eastAsia="zh-CN" w:bidi="ar-SA"/>
        </w:rPr>
      </w:pPr>
      <w:r>
        <w:rPr>
          <w:rStyle w:val="12"/>
          <w:rFonts w:hint="eastAsia" w:ascii="Times New Roman" w:hAnsi="宋体" w:eastAsia="宋体" w:cs="Times New Roman"/>
          <w:b/>
          <w:color w:val="auto"/>
          <w:kern w:val="2"/>
          <w:sz w:val="21"/>
          <w:szCs w:val="24"/>
          <w:highlight w:val="none"/>
          <w:lang w:val="en-US" w:eastAsia="zh-CN" w:bidi="ar-SA"/>
        </w:rPr>
        <w:t>2、规格尺寸及安装注意事项</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188"/>
        <w:gridCol w:w="1872"/>
        <w:gridCol w:w="5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5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窗户宽度合计约291米</w:t>
            </w:r>
          </w:p>
        </w:tc>
        <w:tc>
          <w:tcPr>
            <w:tcW w:w="5489"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tabs>
                <w:tab w:val="center" w:pos="331"/>
              </w:tabs>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无窗帘盒区域安装在窗槽内；</w:t>
            </w:r>
          </w:p>
          <w:p>
            <w:pPr>
              <w:numPr>
                <w:ilvl w:val="0"/>
                <w:numId w:val="1"/>
              </w:numPr>
              <w:tabs>
                <w:tab w:val="center" w:pos="331"/>
              </w:tabs>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层高超高区域需注意拼接处美观，整体效果好；</w:t>
            </w:r>
          </w:p>
          <w:p>
            <w:pPr>
              <w:numPr>
                <w:ilvl w:val="0"/>
                <w:numId w:val="0"/>
              </w:numPr>
              <w:tabs>
                <w:tab w:val="center" w:pos="331"/>
              </w:tabs>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3、单侧墙体如有数个窗格，应整面墙制作；</w:t>
            </w:r>
          </w:p>
          <w:p>
            <w:pPr>
              <w:numPr>
                <w:ilvl w:val="0"/>
                <w:numId w:val="0"/>
              </w:numPr>
              <w:tabs>
                <w:tab w:val="center" w:pos="331"/>
              </w:tabs>
              <w:spacing w:line="360" w:lineRule="auto"/>
              <w:ind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4、窗户宽度是招标人测算的窗户净尺寸，投标人需按照1:2的皱褶比例测算实际需要的窗帘宽度；</w:t>
            </w:r>
          </w:p>
          <w:p>
            <w:pPr>
              <w:numPr>
                <w:ilvl w:val="0"/>
                <w:numId w:val="0"/>
              </w:numPr>
              <w:tabs>
                <w:tab w:val="center" w:pos="331"/>
              </w:tabs>
              <w:spacing w:line="360" w:lineRule="auto"/>
              <w:ind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5、窗帘高度为窗顶到地面差5公分，具体尺寸依据招标人实际需求；</w:t>
            </w:r>
          </w:p>
          <w:p>
            <w:pPr>
              <w:numPr>
                <w:ilvl w:val="0"/>
                <w:numId w:val="0"/>
              </w:numPr>
              <w:tabs>
                <w:tab w:val="center" w:pos="331"/>
              </w:tabs>
              <w:spacing w:line="360" w:lineRule="auto"/>
              <w:ind w:leftChars="0"/>
              <w:jc w:val="left"/>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val="en-US" w:eastAsia="zh-CN" w:bidi="ar-SA"/>
              </w:rPr>
              <w:t>6、报价含辅材等所有材料。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铝合金</w:t>
            </w:r>
            <w:r>
              <w:rPr>
                <w:rFonts w:hint="eastAsia" w:ascii="宋体" w:hAnsi="宋体" w:eastAsia="宋体" w:cs="宋体"/>
                <w:i w:val="0"/>
                <w:iCs w:val="0"/>
                <w:color w:val="auto"/>
                <w:kern w:val="0"/>
                <w:sz w:val="21"/>
                <w:szCs w:val="21"/>
                <w:highlight w:val="none"/>
                <w:u w:val="none"/>
                <w:lang w:val="en-US" w:eastAsia="zh-CN" w:bidi="ar"/>
              </w:rPr>
              <w:t>罗马杆</w:t>
            </w:r>
          </w:p>
        </w:tc>
        <w:tc>
          <w:tcPr>
            <w:tcW w:w="1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窗户宽度合计约291米</w:t>
            </w:r>
          </w:p>
        </w:tc>
        <w:tc>
          <w:tcPr>
            <w:tcW w:w="548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1、投标人报价时需考虑窗户数量、窗帘个数、罗马杆端头以及两边预留空间等，确保安装的罗马杆美观实用；</w:t>
            </w:r>
          </w:p>
          <w:p>
            <w:p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val="en-US" w:eastAsia="zh-CN" w:bidi="ar-SA"/>
              </w:rPr>
              <w:t>2、报价含辅材等所有材料。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86" w:type="dxa"/>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hAnsi="宋体" w:cs="宋体"/>
                <w:b/>
                <w:bCs/>
                <w:color w:val="auto"/>
                <w:sz w:val="21"/>
                <w:szCs w:val="21"/>
                <w:highlight w:val="none"/>
              </w:rPr>
              <w:t>注：</w:t>
            </w:r>
            <w:r>
              <w:rPr>
                <w:rFonts w:hint="eastAsia" w:hAnsi="宋体" w:cs="宋体"/>
                <w:b/>
                <w:bCs/>
                <w:color w:val="auto"/>
                <w:sz w:val="21"/>
                <w:szCs w:val="21"/>
                <w:highlight w:val="none"/>
                <w:lang w:val="en-US" w:eastAsia="zh-CN"/>
              </w:rPr>
              <w:t>本表中所述规格为招标人测算的所有窗户的大概净尺寸，不包括包边、安装宽度等。</w:t>
            </w:r>
            <w:r>
              <w:rPr>
                <w:rFonts w:hint="eastAsia" w:hAnsi="宋体" w:cs="宋体"/>
                <w:b/>
                <w:bCs/>
                <w:color w:val="auto"/>
                <w:sz w:val="21"/>
                <w:szCs w:val="21"/>
                <w:highlight w:val="none"/>
              </w:rPr>
              <w:t>各投标人应自行踏勘现场，根据实际情况确定</w:t>
            </w:r>
            <w:r>
              <w:rPr>
                <w:rFonts w:hint="eastAsia" w:hAnsi="宋体" w:cs="宋体"/>
                <w:b/>
                <w:bCs/>
                <w:color w:val="auto"/>
                <w:sz w:val="21"/>
                <w:szCs w:val="21"/>
                <w:highlight w:val="none"/>
                <w:lang w:val="en-US" w:eastAsia="zh-CN"/>
              </w:rPr>
              <w:t>货物的规格尺寸</w:t>
            </w:r>
            <w:r>
              <w:rPr>
                <w:rFonts w:hint="eastAsia" w:hAnsi="宋体" w:cs="宋体"/>
                <w:b/>
                <w:bCs/>
                <w:color w:val="auto"/>
                <w:sz w:val="21"/>
                <w:szCs w:val="21"/>
                <w:highlight w:val="none"/>
              </w:rPr>
              <w:t>。</w:t>
            </w:r>
          </w:p>
        </w:tc>
      </w:tr>
    </w:tbl>
    <w:tbl>
      <w:tblPr>
        <w:tblStyle w:val="10"/>
        <w:tblpPr w:leftFromText="180" w:rightFromText="180" w:vertAnchor="text" w:tblpX="10596" w:tblpY="25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26" w:type="dxa"/>
            <w:noWrap w:val="0"/>
            <w:vAlign w:val="top"/>
          </w:tcPr>
          <w:p>
            <w:pPr>
              <w:snapToGrid w:val="0"/>
              <w:spacing w:line="360" w:lineRule="auto"/>
              <w:rPr>
                <w:rStyle w:val="12"/>
                <w:rFonts w:hint="eastAsia" w:hAnsi="宋体"/>
                <w:b/>
                <w:color w:val="auto"/>
                <w:highlight w:val="none"/>
                <w:vertAlign w:val="baseline"/>
              </w:rPr>
            </w:pPr>
          </w:p>
        </w:tc>
      </w:tr>
    </w:tbl>
    <w:p>
      <w:pPr>
        <w:spacing w:line="360" w:lineRule="auto"/>
        <w:ind w:firstLine="422" w:firstLineChars="200"/>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三、服务要求</w:t>
      </w:r>
    </w:p>
    <w:p>
      <w:pPr>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1、供货、制作及安装要求：</w:t>
      </w:r>
    </w:p>
    <w:p>
      <w:pPr>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rPr>
        <w:t>1）供货地点：将货物送至招标人指定地点。</w:t>
      </w:r>
    </w:p>
    <w:p>
      <w:pPr>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（2）供货时间：接到招标人通知后</w:t>
      </w:r>
      <w:r>
        <w:rPr>
          <w:rFonts w:hint="eastAsia" w:ascii="宋体" w:hAnsi="宋体" w:eastAsia="宋体" w:cs="宋体"/>
          <w:snapToGrid w:val="0"/>
          <w:color w:val="auto"/>
          <w:szCs w:val="21"/>
          <w:highlight w:val="none"/>
          <w:lang w:val="en-US" w:eastAsia="zh-CN"/>
        </w:rPr>
        <w:t>15</w:t>
      </w:r>
      <w:r>
        <w:rPr>
          <w:rFonts w:hint="eastAsia" w:ascii="宋体" w:hAnsi="宋体" w:eastAsia="宋体" w:cs="宋体"/>
          <w:snapToGrid w:val="0"/>
          <w:color w:val="auto"/>
          <w:szCs w:val="21"/>
          <w:highlight w:val="none"/>
        </w:rPr>
        <w:t>日历天内完成供货、安装及调试。</w:t>
      </w:r>
    </w:p>
    <w:p>
      <w:pPr>
        <w:spacing w:line="360" w:lineRule="auto"/>
        <w:ind w:firstLine="420" w:firstLineChars="200"/>
        <w:rPr>
          <w:rFonts w:ascii="宋体" w:hAnsi="宋体" w:cs="宋体"/>
          <w:snapToGrid w:val="0"/>
          <w:color w:val="auto"/>
          <w:szCs w:val="21"/>
          <w:highlight w:val="none"/>
        </w:rPr>
      </w:pPr>
      <w:r>
        <w:rPr>
          <w:rFonts w:hint="eastAsia" w:ascii="宋体" w:hAnsi="宋体" w:eastAsia="宋体" w:cs="宋体"/>
          <w:snapToGrid w:val="0"/>
          <w:color w:val="auto"/>
          <w:szCs w:val="21"/>
          <w:highlight w:val="none"/>
        </w:rPr>
        <w:t>2、质量要求：中标人提供的产品其技术标准按国家标准执行，无国家标准的，按行业标准执行，</w:t>
      </w:r>
      <w:r>
        <w:rPr>
          <w:rFonts w:hint="eastAsia" w:ascii="宋体" w:hAnsi="宋体" w:cs="宋体"/>
          <w:snapToGrid w:val="0"/>
          <w:color w:val="auto"/>
          <w:szCs w:val="21"/>
          <w:highlight w:val="none"/>
        </w:rPr>
        <w:t>无国家和行业标准的，按企业标准执行；招标文件中有特别要求的，按招标文件中规定的要求执行，并且符合相关法律、法规规定的要求。</w:t>
      </w:r>
    </w:p>
    <w:p>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3、售后</w:t>
      </w:r>
      <w:r>
        <w:rPr>
          <w:rFonts w:hint="eastAsia" w:ascii="宋体" w:hAnsi="宋体" w:eastAsia="宋体" w:cs="宋体"/>
          <w:snapToGrid w:val="0"/>
          <w:color w:val="auto"/>
          <w:szCs w:val="21"/>
          <w:highlight w:val="none"/>
        </w:rPr>
        <w:t>服务：本次项目全部所需产品的质保期为</w:t>
      </w: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年，自</w:t>
      </w:r>
      <w:r>
        <w:rPr>
          <w:rFonts w:hint="eastAsia" w:ascii="宋体" w:hAnsi="宋体" w:cs="宋体"/>
          <w:snapToGrid w:val="0"/>
          <w:color w:val="auto"/>
          <w:szCs w:val="21"/>
          <w:highlight w:val="none"/>
        </w:rPr>
        <w:t>项目验收合格之日起计算</w:t>
      </w:r>
      <w:r>
        <w:rPr>
          <w:rFonts w:ascii="宋体" w:hAnsi="宋体" w:cs="宋体"/>
          <w:snapToGrid w:val="0"/>
          <w:color w:val="auto"/>
          <w:szCs w:val="21"/>
          <w:highlight w:val="none"/>
        </w:rPr>
        <w:t>。</w:t>
      </w:r>
      <w:r>
        <w:rPr>
          <w:rFonts w:hint="eastAsia" w:ascii="宋体" w:hAnsi="宋体" w:cs="宋体"/>
          <w:snapToGrid w:val="0"/>
          <w:color w:val="auto"/>
          <w:szCs w:val="21"/>
          <w:highlight w:val="none"/>
        </w:rPr>
        <w:t>质保期内免费提供产品的维修维护，包括非人为因素发生的产品修理、更换的费用。产品出现故障，中标人须在接招标人维修联系通知后2小时内至现场，一般问题2小时内解决，最长不超过24小时解决问题。</w:t>
      </w:r>
    </w:p>
    <w:p>
      <w:pPr>
        <w:spacing w:line="360" w:lineRule="auto"/>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4、样品要求</w:t>
      </w:r>
    </w:p>
    <w:p>
      <w:pPr>
        <w:spacing w:line="360" w:lineRule="auto"/>
        <w:ind w:firstLine="420" w:firstLineChars="200"/>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投标人应在提交投标文件时提供本项目窗帘小样样品一份，样品要求：窗帘提供工艺完整的（下摆长约1m*宽幅约1m）的实物1份，样品须贴上标签，标签上面注明投标人的名称，所投产品的品牌、型号等相关信息。未提供样品的，则投标文件</w:t>
      </w:r>
      <w:r>
        <w:rPr>
          <w:rFonts w:hint="eastAsia" w:ascii="宋体" w:hAnsi="宋体" w:eastAsia="宋体" w:cs="宋体"/>
          <w:snapToGrid w:val="0"/>
          <w:color w:val="auto"/>
          <w:szCs w:val="21"/>
          <w:highlight w:val="none"/>
        </w:rPr>
        <w:t>不予接收。</w:t>
      </w:r>
    </w:p>
    <w:p>
      <w:pPr>
        <w:spacing w:line="360" w:lineRule="auto"/>
        <w:ind w:firstLine="420" w:firstLineChars="200"/>
        <w:rPr>
          <w:rFonts w:hint="eastAsia" w:ascii="宋体" w:hAnsi="宋体" w:eastAsia="宋体" w:cs="宋体"/>
          <w:snapToGrid w:val="0"/>
          <w:color w:val="auto"/>
          <w:szCs w:val="21"/>
          <w:highlight w:val="none"/>
          <w:lang w:eastAsia="zh-CN"/>
        </w:rPr>
      </w:pP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投标人应在投标时根据招标文件要求提供所投货物样品，样品不得与招标文件混装，须单独密封，招标人及招标代理机构对投标人所递交样品的破损或质量不负任何责任。其样品费用由投标人自行承担，招标人不再另行支付。中标单位的货物样品由招标人封存保留，作为后期的验收依据，未中标单位样品在采购活动结束后退回，采用邮寄方式的，邮寄费用由投标人支付。</w:t>
      </w:r>
    </w:p>
    <w:p>
      <w:pPr>
        <w:spacing w:line="360" w:lineRule="auto"/>
        <w:ind w:firstLine="422" w:firstLineChars="200"/>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5、验收</w:t>
      </w:r>
    </w:p>
    <w:p>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（1）中标人完成制作安装后，由招标人按照制作和安装相关标准及招标文件要求，组织验收。</w:t>
      </w:r>
    </w:p>
    <w:p>
      <w:pPr>
        <w:spacing w:line="360" w:lineRule="auto"/>
        <w:ind w:firstLine="420" w:firstLineChars="200"/>
        <w:rPr>
          <w:rFonts w:hint="eastAsia" w:ascii="宋体" w:hAnsi="宋体"/>
          <w:color w:val="auto"/>
          <w:highlight w:val="none"/>
        </w:rPr>
      </w:pPr>
      <w:r>
        <w:rPr>
          <w:rFonts w:hint="eastAsia" w:ascii="宋体" w:hAnsi="宋体" w:cs="宋体"/>
          <w:snapToGrid w:val="0"/>
          <w:color w:val="auto"/>
          <w:szCs w:val="21"/>
          <w:highlight w:val="none"/>
        </w:rPr>
        <w:t>（2）验收时，如发现因设计、工艺或材料</w:t>
      </w:r>
      <w:r>
        <w:rPr>
          <w:rFonts w:hint="eastAsia" w:ascii="宋体" w:hAnsi="宋体"/>
          <w:color w:val="auto"/>
          <w:highlight w:val="none"/>
        </w:rPr>
        <w:t>的缺陷而发生的任何不足或故障，由中标人负责，并承担由此产生的一切后果。</w:t>
      </w:r>
    </w:p>
    <w:p>
      <w:pPr>
        <w:snapToGrid w:val="0"/>
        <w:spacing w:line="360" w:lineRule="auto"/>
        <w:ind w:firstLine="422" w:firstLineChars="200"/>
        <w:rPr>
          <w:rStyle w:val="12"/>
          <w:rFonts w:hint="eastAsia" w:hAnsi="宋体"/>
          <w:b/>
          <w:color w:val="auto"/>
          <w:highlight w:val="none"/>
        </w:rPr>
      </w:pPr>
      <w:r>
        <w:rPr>
          <w:rStyle w:val="12"/>
          <w:rFonts w:hint="eastAsia" w:hAnsi="宋体"/>
          <w:b/>
          <w:color w:val="auto"/>
          <w:highlight w:val="none"/>
        </w:rPr>
        <w:t>四、报价要求</w:t>
      </w:r>
    </w:p>
    <w:p>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投标人应按总价报价，其投标报价包含产品费用、人工费、材料辅材费、运输到指定地点的装运费用（含装卸力资）、测量、安装及调试费、税费、保险、售后服务、为完成本项目所必须的其他辅助工作的相关费用等所有费用。投标人应结合采购需求及现场情况合理报价，一旦成交，中标价后期将不作任何调整。</w:t>
      </w:r>
    </w:p>
    <w:p>
      <w:pPr>
        <w:numPr>
          <w:ilvl w:val="0"/>
          <w:numId w:val="2"/>
        </w:numPr>
        <w:snapToGrid w:val="0"/>
        <w:spacing w:line="360" w:lineRule="auto"/>
        <w:ind w:left="420" w:leftChars="200"/>
        <w:rPr>
          <w:rStyle w:val="12"/>
          <w:rFonts w:hint="eastAsia"/>
          <w:b/>
          <w:color w:val="auto"/>
          <w:highlight w:val="none"/>
        </w:rPr>
      </w:pPr>
      <w:r>
        <w:rPr>
          <w:rStyle w:val="12"/>
          <w:rFonts w:hint="eastAsia"/>
          <w:b/>
          <w:color w:val="auto"/>
          <w:highlight w:val="none"/>
          <w:lang w:val="en-US" w:eastAsia="zh-CN"/>
        </w:rPr>
        <w:t>其他要求</w:t>
      </w:r>
    </w:p>
    <w:p>
      <w:pPr>
        <w:numPr>
          <w:ilvl w:val="0"/>
          <w:numId w:val="0"/>
        </w:numPr>
        <w:snapToGrid w:val="0"/>
        <w:spacing w:line="360" w:lineRule="auto"/>
        <w:ind w:firstLine="420" w:firstLineChars="200"/>
        <w:rPr>
          <w:rStyle w:val="12"/>
          <w:rFonts w:hint="eastAsia" w:eastAsia="宋体"/>
          <w:b w:val="0"/>
          <w:bCs/>
          <w:color w:val="auto"/>
          <w:highlight w:val="none"/>
          <w:lang w:val="en-US" w:eastAsia="zh-CN"/>
        </w:rPr>
      </w:pPr>
      <w:r>
        <w:rPr>
          <w:rStyle w:val="12"/>
          <w:rFonts w:hint="eastAsia"/>
          <w:b w:val="0"/>
          <w:bCs/>
          <w:color w:val="auto"/>
          <w:highlight w:val="none"/>
          <w:lang w:val="en-US" w:eastAsia="zh-CN"/>
        </w:rPr>
        <w:t>中标人提供的货物款式和颜色须经招标人同意方可制作，未经同意直接供货，所产生的费用由中标人自行承担。</w:t>
      </w:r>
    </w:p>
    <w:p>
      <w:pPr>
        <w:numPr>
          <w:ilvl w:val="0"/>
          <w:numId w:val="0"/>
        </w:numPr>
        <w:snapToGrid w:val="0"/>
        <w:spacing w:line="360" w:lineRule="auto"/>
        <w:ind w:firstLine="422" w:firstLineChars="200"/>
        <w:rPr>
          <w:rStyle w:val="12"/>
          <w:rFonts w:hint="eastAsia"/>
          <w:b/>
          <w:color w:val="auto"/>
          <w:highlight w:val="none"/>
        </w:rPr>
      </w:pPr>
      <w:r>
        <w:rPr>
          <w:rStyle w:val="12"/>
          <w:rFonts w:hint="eastAsia"/>
          <w:b/>
          <w:color w:val="auto"/>
          <w:highlight w:val="none"/>
          <w:lang w:val="en-US" w:eastAsia="zh-CN"/>
        </w:rPr>
        <w:t>六、</w:t>
      </w:r>
      <w:r>
        <w:rPr>
          <w:rStyle w:val="12"/>
          <w:rFonts w:hint="eastAsia"/>
          <w:b/>
          <w:color w:val="auto"/>
          <w:highlight w:val="none"/>
        </w:rPr>
        <w:t>付款方式</w:t>
      </w:r>
    </w:p>
    <w:p>
      <w:pPr>
        <w:snapToGrid w:val="0"/>
        <w:spacing w:line="360" w:lineRule="auto"/>
        <w:ind w:firstLine="420" w:firstLineChars="200"/>
        <w:rPr>
          <w:rFonts w:hint="default" w:eastAsia="宋体"/>
          <w:lang w:val="en-US" w:eastAsia="zh-CN"/>
        </w:rPr>
      </w:pPr>
      <w:r>
        <w:rPr>
          <w:rFonts w:hint="eastAsia" w:ascii="宋体" w:hAnsi="宋体" w:cs="宋体"/>
          <w:color w:val="auto"/>
          <w:szCs w:val="21"/>
          <w:highlight w:val="none"/>
        </w:rPr>
        <w:t>供货及安装完成且经招标人验收合格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三个月内</w:t>
      </w:r>
      <w:r>
        <w:rPr>
          <w:rFonts w:hint="eastAsia" w:ascii="宋体" w:hAnsi="宋体" w:eastAsia="宋体" w:cs="宋体"/>
          <w:color w:val="auto"/>
          <w:szCs w:val="21"/>
          <w:highlight w:val="none"/>
        </w:rPr>
        <w:t>支付合同价款的</w:t>
      </w:r>
      <w:r>
        <w:rPr>
          <w:rFonts w:hint="eastAsia" w:ascii="宋体" w:hAnsi="宋体" w:eastAsia="宋体" w:cs="宋体"/>
          <w:color w:val="auto"/>
          <w:szCs w:val="21"/>
          <w:highlight w:val="none"/>
          <w:lang w:eastAsia="zh-CN"/>
        </w:rPr>
        <w:t>95%</w:t>
      </w:r>
      <w:r>
        <w:rPr>
          <w:rFonts w:hint="eastAsia" w:ascii="宋体" w:hAnsi="宋体" w:eastAsia="宋体" w:cs="宋体"/>
          <w:color w:val="auto"/>
          <w:szCs w:val="21"/>
          <w:highlight w:val="none"/>
        </w:rPr>
        <w:t>，质保期结束后无质量问题支付剩余合同价款（不计息）。</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45C07"/>
    <w:multiLevelType w:val="singleLevel"/>
    <w:tmpl w:val="20945C07"/>
    <w:lvl w:ilvl="0" w:tentative="0">
      <w:start w:val="1"/>
      <w:numFmt w:val="decimal"/>
      <w:suff w:val="nothing"/>
      <w:lvlText w:val="%1、"/>
      <w:lvlJc w:val="left"/>
    </w:lvl>
  </w:abstractNum>
  <w:abstractNum w:abstractNumId="1">
    <w:nsid w:val="6C6F61E1"/>
    <w:multiLevelType w:val="singleLevel"/>
    <w:tmpl w:val="6C6F61E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62D3EA6"/>
    <w:rsid w:val="062D3EA6"/>
    <w:rsid w:val="1B2A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 w:line="22" w:lineRule="atLeast"/>
    </w:pPr>
    <w:rPr>
      <w:rFonts w:ascii="宋体" w:hAnsi="宋体"/>
      <w:sz w:val="24"/>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Plain Text"/>
    <w:basedOn w:val="1"/>
    <w:next w:val="1"/>
    <w:qFormat/>
    <w:uiPriority w:val="0"/>
    <w:rPr>
      <w:rFonts w:ascii="宋体" w:hAnsi="Courier New"/>
      <w:kern w:val="0"/>
      <w:sz w:val="20"/>
      <w:szCs w:val="20"/>
    </w:rPr>
  </w:style>
  <w:style w:type="paragraph" w:styleId="7">
    <w:name w:val="footer"/>
    <w:basedOn w:val="1"/>
    <w:qFormat/>
    <w:uiPriority w:val="99"/>
    <w:pPr>
      <w:tabs>
        <w:tab w:val="center" w:pos="4153"/>
        <w:tab w:val="right" w:pos="8306"/>
      </w:tabs>
      <w:snapToGrid w:val="0"/>
      <w:jc w:val="left"/>
    </w:pPr>
    <w:rPr>
      <w:rFonts w:ascii="Calibri" w:hAnsi="Calibri"/>
      <w:sz w:val="18"/>
      <w:szCs w:val="18"/>
    </w:rPr>
  </w:style>
  <w:style w:type="paragraph" w:styleId="8">
    <w:name w:val="Body Text First Indent 2"/>
    <w:basedOn w:val="4"/>
    <w:next w:val="1"/>
    <w:unhideWhenUsed/>
    <w:qFormat/>
    <w:uiPriority w:val="0"/>
    <w:pPr>
      <w:spacing w:after="120"/>
      <w:ind w:left="420" w:leftChars="200" w:firstLine="420" w:firstLineChars="200"/>
    </w:pPr>
    <w:rPr>
      <w:rFonts w:cs="黑体"/>
      <w:sz w:val="21"/>
      <w:szCs w:val="2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2023-12-12T03:01:00Z</dcterms:created>
  <dc:creator>兔子爱上了窝边草</dc:creator>
  <cp:lastModifiedBy>无名</cp:lastModifiedBy>
  <dcterms:modified xsi:type="dcterms:W3CDTF">2023-12-14T09:38:20Z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836AC733B8DC4999B0BFE8616C6B12DA_13</vt:lpwstr>
  </property>
</Properties>
</file>