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20" w:afterLines="20" w:line="36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附件：</w:t>
      </w:r>
    </w:p>
    <w:p>
      <w:pPr>
        <w:pStyle w:val="4"/>
        <w:spacing w:beforeLines="20" w:afterLines="20" w:line="360" w:lineRule="auto"/>
        <w:ind w:firstLine="0" w:firstLineChars="0"/>
        <w:jc w:val="center"/>
        <w:rPr>
          <w:rFonts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服务需求及技术要求</w:t>
      </w:r>
    </w:p>
    <w:p>
      <w:pPr>
        <w:spacing w:line="440" w:lineRule="exact"/>
        <w:ind w:left="422" w:hanging="422" w:hangingChars="200"/>
        <w:rPr>
          <w:rFonts w:ascii="宋体" w:hAnsi="宋体" w:cs="宋体"/>
          <w:b/>
          <w:bCs/>
          <w:color w:val="00000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Cs w:val="21"/>
        </w:rPr>
        <w:t>一、服务内容</w:t>
      </w:r>
    </w:p>
    <w:p>
      <w:pPr>
        <w:spacing w:line="44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对</w:t>
      </w:r>
      <w:r>
        <w:rPr>
          <w:rFonts w:hint="eastAsia" w:ascii="宋体" w:hAnsi="宋体" w:cs="宋体"/>
          <w:color w:val="000000"/>
          <w:szCs w:val="21"/>
        </w:rPr>
        <w:t>院内白蚁、苍蝇、蚊子、老鼠、蟑螂等有害生物进行防治，在院内</w:t>
      </w:r>
      <w:r>
        <w:rPr>
          <w:rFonts w:hint="eastAsia" w:ascii="宋体" w:hAnsi="宋体" w:cs="宋体"/>
          <w:szCs w:val="21"/>
        </w:rPr>
        <w:t>进行白蚁巢穴开挖、寻找蚁路安装白蚁电子智能监测装置、安装捕蝇装置、</w:t>
      </w:r>
      <w:r>
        <w:rPr>
          <w:rFonts w:hint="eastAsia" w:ascii="宋体" w:hAnsi="宋体" w:cs="宋体"/>
          <w:color w:val="000000"/>
          <w:szCs w:val="21"/>
        </w:rPr>
        <w:t>安装捕鼠装置</w:t>
      </w:r>
      <w:r>
        <w:rPr>
          <w:rFonts w:hint="eastAsia" w:ascii="宋体" w:hAnsi="宋体" w:cs="宋体"/>
          <w:szCs w:val="21"/>
        </w:rPr>
        <w:t>及药物综合治理等防治服务。防治区域主要包括：两院区门诊综合楼、住院部、行政楼、食堂区域等；院区绿化重点保护区域；院区内行道树、乔木、灌木丛中蚁穴；其他砖木结构建筑。</w:t>
      </w:r>
    </w:p>
    <w:p>
      <w:pPr>
        <w:spacing w:line="44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二、具体防治内容</w:t>
      </w:r>
    </w:p>
    <w:tbl>
      <w:tblPr>
        <w:tblStyle w:val="8"/>
        <w:tblW w:w="10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64"/>
        <w:gridCol w:w="2124"/>
        <w:gridCol w:w="2312"/>
        <w:gridCol w:w="2393"/>
        <w:gridCol w:w="1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防治对象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防治频次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防治方式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防治要求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970"/>
                <w:tab w:val="center" w:pos="2550"/>
              </w:tabs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防治效果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苍蝇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每月集中处理一次；</w:t>
            </w:r>
          </w:p>
          <w:p>
            <w:pPr>
              <w:pStyle w:val="7"/>
              <w:numPr>
                <w:ilvl w:val="0"/>
                <w:numId w:val="1"/>
              </w:numPr>
              <w:spacing w:line="260" w:lineRule="exact"/>
              <w:ind w:firstLine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如采购人应现场防治要求需临时增加消杀区域和次数，供应商需无条件满足；</w:t>
            </w:r>
          </w:p>
          <w:p>
            <w:pPr>
              <w:pStyle w:val="7"/>
              <w:spacing w:line="260" w:lineRule="exact"/>
              <w:ind w:firstLine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3、增加的次数不含在每年集中处理次数内，不额外支付任何费用。</w:t>
            </w:r>
          </w:p>
        </w:tc>
        <w:tc>
          <w:tcPr>
            <w:tcW w:w="2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规范使用药物方法对蚊蝇进行捕杀；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根据安庆中医医院布局情况规范布置捕蝇网、粘绳板，定期维护，保证达到现场防治要求。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高效、安全、低毒或无毒类环保产品。</w:t>
            </w: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以《全国病媒生物监测方案》、《安徽省防控病媒生物管理办法》以及两院区各区域消杀满意度为防治效果合格标准，并确保各级各类检查中此项内容合格；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有害生物密度标准：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苍蝇密度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≤3%；蚊子密度≤1；鼠密度≤3%；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蟑螂密度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≤3%，且平均每间房大蠊不超过5只，小蠊不超过10只。有活蟑螂卵鞘房间不超过2%，平均每间房不超过4只。有蟑螂粪便、蜕皮等蟑迹房间不超过5%；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各部门反映未发现有四害或其它虫害。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蚊子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老鼠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0" w:lineRule="exact"/>
              <w:ind w:firstLine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1、每月集中巡查并处理一次，两院内外设置的毒饵站的数量，须达到且超过目前现有数量； </w:t>
            </w:r>
          </w:p>
          <w:p>
            <w:pPr>
              <w:pStyle w:val="7"/>
              <w:spacing w:line="260" w:lineRule="exact"/>
              <w:ind w:firstLine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2、如采购人应现场防治要求需临时增加消杀区域和次数，供应商需无条件满足；</w:t>
            </w:r>
          </w:p>
          <w:p>
            <w:pPr>
              <w:pStyle w:val="7"/>
              <w:spacing w:line="260" w:lineRule="exact"/>
              <w:ind w:firstLine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3、增加的次数不含在每月集中处理次数内，不额外支付任何费用。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1、围墙四周及各楼宇外墙壁根每20米左右建立一个灭鼠毒饵站。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供应商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每月定期巡查并及时维护、增设、调整毒饵站，同时张贴醒目标识，按规范管理；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2、每月定期投放毒饵并查看补充；       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3、通过布放粘鼠板、老鼠药等形式进行灭鼠。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1、根据效果和采购人反馈情况予以更换老鼠药并定期查看；                     2、老鼠药必须为低毒高效品牌；               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3、食堂摆放鼠药必须保证食品安全。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蟑螂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使用化学药剂喷洒在需要进行灭蟑的场所；</w:t>
            </w:r>
          </w:p>
          <w:p>
            <w:pPr>
              <w:widowControl/>
              <w:numPr>
                <w:ilvl w:val="0"/>
                <w:numId w:val="4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用带有药物的蟑螂爱吃的诱饵，分散撒在有蟑螂的地方，蟑螂接触后即可杀灭。</w:t>
            </w:r>
          </w:p>
          <w:p>
            <w:pPr>
              <w:pStyle w:val="7"/>
              <w:spacing w:line="26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每月对两院区各区域（含桌柜、文件柜及贮物柜）进行一次全面的蟑螂消杀；         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2、使用的杀虫剂要求高效低毒，对人畜安全无害，药效持久，作用时间长，杀虫谱广，对环境不造成污染。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白蚁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应采购人要求，人工挖巢，安装白蚁电子智能监测装置，药物综合治理。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人工挖巢、安装白蚁电子智能监测装置；</w:t>
            </w:r>
          </w:p>
          <w:p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使用化学药剂对白蚁进行防治。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高效、安全、低毒或无毒类环保产品。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三、服务及质量要求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规范要求：白蚁防治必须符合中华人民共和国行业标准“园林白蚁防治方案”及省白蚁预防技术规程等国家、地方主管部门现行有关规定。成交供应商质量保证符合《房屋白蚁预防技术规程》建设部第130号令《城市房屋白蚁防治管理规定》及其他最新标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白蚁防治要求：安庆市中医医院南、北院区所辖区域找寻白蚁巢穴，安装白蚁电子监测装置，安装捕蝇装置、安装捕鼠装置，以及药物治理。服务期内供应商至少每月1次定期治理、定期巡查，5-10月份为每月2次集中治理，每次安排专业防治人员不少于3人。集中治理天数根据实际情况而定。每次完成防治后均需详细记录并提请采购人验收，每防治一处，确认一处，用户和管理单位负责人共同签字。要求成交供应商坚持治标与治本相结合；重点时间防治与常规时间防治相结合；重点区域防治和普通区域防治相结合；药物防治和器械防治相结合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2.零星防治作业：对白蚁及病媒生物防治的零星防治，成交供应商在接到采购人电联后，无需设备的，需在2小时内完成防治作业，需要药物及设备的，在5小时内完成防治作业。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3.药物的选择和使用，必须遵守《中华人民共和国农药管理条例》，所使用的药物必须取得农药登记证登记范围、农药生产许可证或农药生产批准文件、产品质量标准、产品质量检验合格证。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4.防治效果：承包期间院区内绿化树木各建筑无大量白蚁爆发、无大量鼠害蚊蝇害虫，无新增白蚁迹象。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1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10"/>
          <w:szCs w:val="21"/>
        </w:rPr>
        <w:t>四、现场管理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要求服务期内集中治理期间需要有技术人员常驻现场，其他时间供应商自行安排技术人员现场巡视。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1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10"/>
          <w:szCs w:val="21"/>
        </w:rPr>
        <w:t>五、安全管理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1.供应商自备专用工具和车辆并负责管理，对可能产生的所有安全问题负完全责任。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2.按照采购人的时间要求开展作业，避免对采购人的正常工作和医患生活环境造成影响，施工过程中要加强环境保护，不得对院区环境造成污染。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3.供应商按照安全生产管理条例有关规定，安全生产，文明施工。治理过程中发生的任何事故由供应商承担完全责任。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4.供应商不得损坏原有管网、绿化景观、道路等设施，损坏部分由供应商自行修复，如未修复按实际发生费用从合同价款中扣除。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1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10"/>
          <w:szCs w:val="21"/>
        </w:rPr>
        <w:t>六、验收及质保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1.一个服务期集中治理后，供应商对服务效果进行预验收，形成服务期预验收报告，再书面申请采购人组织相关人员进行项目验收。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2.供应商必须按照磋商文件及有关国家规范内容规范施工，验收必须达到合格标准。隐蔽工程必须及时通知采购人验收并办理签证手续，变更项目必须按照采购人变更通知要求和建设规范组织施工。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服务期内每次的治理施工日志需记录详实、可靠，关键防治过程需保留影像资料，服务期满提请验收时一并交由采购人，同时采购人有权随时调取成交供应商服务期内的工作日志，对不能提供详实、可靠施工日志的，采购人将对成交供应商进行罚款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1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10"/>
          <w:szCs w:val="21"/>
        </w:rPr>
        <w:t>七、合同终止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1.合同期内，成交供应商未按照合同内容进行作业，导致院区白蚁爆发大量鼠患虫害，采购人有权单方终止合同，并不予支付任何费用，如对采购人产生经济损失，采购人有权要求成交供应商进行赔付。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color w:val="000000"/>
          <w:szCs w:val="21"/>
        </w:rPr>
        <w:t>2.成交供应商在签订合同后服务期内单方面终止合同的，采购人将不予支付任何费用，并扣留履约保证金。如对采购人产生经济损失，采购人有权要求成交供应商</w:t>
      </w:r>
      <w:r>
        <w:rPr>
          <w:rFonts w:hint="eastAsia" w:ascii="宋体" w:hAnsi="宋体" w:cs="宋体"/>
          <w:szCs w:val="21"/>
        </w:rPr>
        <w:t>进行赔付。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10"/>
          <w:szCs w:val="21"/>
        </w:rPr>
        <w:t>八、</w:t>
      </w:r>
      <w:r>
        <w:rPr>
          <w:rFonts w:hint="eastAsia"/>
          <w:b/>
          <w:bCs/>
        </w:rPr>
        <w:t>报价要求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本项目的磋商报价采用总价报价方式，包括但不限于完成项目服务所需的人工费、材料费、交通费、食宿费、印刷费、管理费、保险</w:t>
      </w:r>
      <w:r>
        <w:rPr>
          <w:rFonts w:hint="eastAsia" w:ascii="宋体" w:hAnsi="宋体" w:cs="宋体"/>
          <w:color w:val="000000"/>
          <w:szCs w:val="21"/>
        </w:rPr>
        <w:t>、税金</w:t>
      </w:r>
      <w:r>
        <w:rPr>
          <w:rFonts w:hint="eastAsia" w:ascii="宋体" w:hAnsi="宋体" w:cs="宋体"/>
          <w:szCs w:val="21"/>
        </w:rPr>
        <w:t>、利润、其他辅助工作相关的所有费用及合同包含的所有风险、责任、义务等一切相关费用等</w:t>
      </w:r>
      <w:r>
        <w:rPr>
          <w:rFonts w:hint="eastAsia"/>
        </w:rPr>
        <w:t>。</w:t>
      </w:r>
    </w:p>
    <w:p>
      <w:pPr>
        <w:spacing w:line="360" w:lineRule="auto"/>
        <w:rPr>
          <w:b/>
          <w:bCs/>
          <w:lang w:val="zh-CN"/>
        </w:rPr>
      </w:pPr>
      <w:r>
        <w:rPr>
          <w:rFonts w:hint="eastAsia"/>
          <w:b/>
          <w:bCs/>
        </w:rPr>
        <w:t>九、</w:t>
      </w:r>
      <w:r>
        <w:rPr>
          <w:rFonts w:hint="eastAsia"/>
          <w:b/>
          <w:bCs/>
          <w:lang w:val="zh-CN"/>
        </w:rPr>
        <w:t>付款方式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  <w:szCs w:val="21"/>
          <w:lang w:val="zh-CN"/>
        </w:rPr>
        <w:t>每年服务期满经采购人验收合格且无</w:t>
      </w:r>
      <w:r>
        <w:rPr>
          <w:rFonts w:hint="eastAsia" w:ascii="宋体" w:hAnsi="宋体"/>
          <w:szCs w:val="21"/>
        </w:rPr>
        <w:t>大量白蚁爆发，并出具验收报告后一次性付清</w:t>
      </w:r>
      <w:r>
        <w:rPr>
          <w:rFonts w:hint="eastAsia" w:ascii="宋体" w:hAnsi="宋体"/>
          <w:szCs w:val="21"/>
          <w:lang w:val="en-US" w:eastAsia="zh-CN"/>
        </w:rPr>
        <w:t>合同价款。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7AC3"/>
    <w:multiLevelType w:val="singleLevel"/>
    <w:tmpl w:val="820D7A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6CB88A"/>
    <w:multiLevelType w:val="singleLevel"/>
    <w:tmpl w:val="156CB8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E6B9A9"/>
    <w:multiLevelType w:val="singleLevel"/>
    <w:tmpl w:val="29E6B9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39D14ED"/>
    <w:multiLevelType w:val="singleLevel"/>
    <w:tmpl w:val="339D14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F4814B5"/>
    <w:multiLevelType w:val="singleLevel"/>
    <w:tmpl w:val="3F4814B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3D13683"/>
    <w:multiLevelType w:val="singleLevel"/>
    <w:tmpl w:val="63D136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055266E8"/>
    <w:rsid w:val="055266E8"/>
    <w:rsid w:val="30A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120" w:after="120" w:line="360" w:lineRule="exact"/>
      <w:jc w:val="center"/>
      <w:outlineLvl w:val="1"/>
    </w:pPr>
    <w:rPr>
      <w:rFonts w:ascii="宋体" w:hAnsi="宋体"/>
      <w:b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0"/>
    <w:pPr>
      <w:ind w:firstLine="645"/>
    </w:pPr>
    <w:rPr>
      <w:sz w:val="20"/>
    </w:rPr>
  </w:style>
  <w:style w:type="paragraph" w:styleId="6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7">
    <w:name w:val="Body Text First Indent 2"/>
    <w:basedOn w:val="5"/>
    <w:next w:val="1"/>
    <w:unhideWhenUsed/>
    <w:qFormat/>
    <w:uiPriority w:val="99"/>
    <w:pPr>
      <w:ind w:firstLine="42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2465</Words>
  <Characters>2491</Characters>
  <Lines>0</Lines>
  <Paragraphs>0</Paragraphs>
  <TotalTime>2</TotalTime>
  <ScaleCrop>false</ScaleCrop>
  <LinksUpToDate>false</LinksUpToDate>
  <CharactersWithSpaces>2572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2023-04-26T02:30:00Z</dcterms:created>
  <dc:creator>兔子爱上了窝边草</dc:creator>
  <cp:lastModifiedBy>无名</cp:lastModifiedBy>
  <dcterms:modified xsi:type="dcterms:W3CDTF">2023-04-26T03:05:26Z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D5982044D8CB4C9E8E3D41213C42C62A_13</vt:lpwstr>
  </property>
</Properties>
</file>