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宋体"/>
          <w:b/>
          <w:bCs/>
          <w:snapToGrid w:val="0"/>
          <w:color w:val="auto"/>
          <w:kern w:val="0"/>
          <w:sz w:val="32"/>
          <w:szCs w:val="32"/>
          <w:highlight w:val="none"/>
        </w:rPr>
      </w:pPr>
      <w:r>
        <w:rPr>
          <w:rFonts w:hint="eastAsia" w:ascii="宋体" w:hAnsi="宋体" w:cs="宋体"/>
          <w:b/>
          <w:bCs/>
          <w:color w:val="auto"/>
          <w:sz w:val="32"/>
          <w:szCs w:val="32"/>
          <w:highlight w:val="none"/>
          <w:lang w:val="zh-CN"/>
        </w:rPr>
        <w:t>货物需求及技术要求</w:t>
      </w:r>
    </w:p>
    <w:p>
      <w:pPr>
        <w:tabs>
          <w:tab w:val="left" w:pos="360"/>
        </w:tabs>
        <w:spacing w:line="360" w:lineRule="auto"/>
        <w:outlineLvl w:val="1"/>
        <w:rPr>
          <w:rFonts w:hint="eastAsia" w:ascii="宋体" w:hAnsi="宋体" w:cs="宋体"/>
          <w:b/>
          <w:color w:val="auto"/>
          <w:szCs w:val="21"/>
          <w:highlight w:val="none"/>
        </w:rPr>
      </w:pPr>
      <w:bookmarkStart w:id="4" w:name="_GoBack"/>
      <w:bookmarkStart w:id="0" w:name="_Toc175644389"/>
      <w:bookmarkStart w:id="1" w:name="_Toc272497413"/>
      <w:bookmarkStart w:id="2" w:name="_Toc101951258"/>
      <w:r>
        <w:rPr>
          <w:rFonts w:hint="eastAsia" w:ascii="宋体" w:hAnsi="宋体" w:cs="宋体"/>
          <w:b/>
          <w:color w:val="auto"/>
          <w:szCs w:val="21"/>
          <w:highlight w:val="none"/>
        </w:rPr>
        <w:t>一、</w:t>
      </w:r>
      <w:bookmarkEnd w:id="0"/>
      <w:bookmarkEnd w:id="1"/>
      <w:bookmarkEnd w:id="2"/>
      <w:r>
        <w:rPr>
          <w:rFonts w:hint="eastAsia" w:ascii="宋体" w:hAnsi="宋体" w:cs="宋体"/>
          <w:b/>
          <w:color w:val="auto"/>
          <w:szCs w:val="21"/>
          <w:highlight w:val="none"/>
        </w:rPr>
        <w:t>采购要求</w:t>
      </w:r>
    </w:p>
    <w:p>
      <w:pPr>
        <w:tabs>
          <w:tab w:val="left" w:pos="360"/>
        </w:tabs>
        <w:spacing w:line="360" w:lineRule="auto"/>
        <w:ind w:firstLine="420" w:firstLineChars="200"/>
        <w:outlineLvl w:val="1"/>
        <w:rPr>
          <w:rFonts w:hint="eastAsia" w:ascii="宋体" w:hAnsi="宋体" w:cs="宋体"/>
          <w:b/>
          <w:color w:val="auto"/>
          <w:szCs w:val="21"/>
          <w:highlight w:val="none"/>
        </w:rPr>
      </w:pPr>
      <w:r>
        <w:rPr>
          <w:rFonts w:hint="eastAsia" w:ascii="宋体" w:hAnsi="宋体" w:cs="宋体"/>
          <w:snapToGrid w:val="0"/>
          <w:color w:val="auto"/>
          <w:szCs w:val="21"/>
          <w:highlight w:val="none"/>
        </w:rPr>
        <w:t>1、投标的货物必须是合法生产的符合国家有关标准要求的货物，满足采购人的使用用途。</w:t>
      </w:r>
    </w:p>
    <w:p>
      <w:pPr>
        <w:spacing w:line="360" w:lineRule="auto"/>
        <w:ind w:firstLine="420" w:firstLineChars="200"/>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2、采购的货物所涉及的产品标准、规范，验收标准、规范，应符合国家有关条例及规范，如有新的标准应采纳新标准，如是国外相应标准应征得采购人认可。</w:t>
      </w:r>
    </w:p>
    <w:p>
      <w:pPr>
        <w:spacing w:line="360" w:lineRule="auto"/>
        <w:ind w:firstLine="420" w:firstLineChars="200"/>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3、</w:t>
      </w:r>
      <w:r>
        <w:rPr>
          <w:rFonts w:hint="eastAsia" w:ascii="宋体" w:hAnsi="宋体" w:cs="宋体"/>
          <w:snapToGrid w:val="0"/>
          <w:color w:val="auto"/>
          <w:szCs w:val="21"/>
          <w:highlight w:val="none"/>
          <w:lang w:val="en-US" w:eastAsia="zh-CN"/>
        </w:rPr>
        <w:t>投标人</w:t>
      </w:r>
      <w:r>
        <w:rPr>
          <w:rFonts w:hint="eastAsia" w:ascii="宋体" w:hAnsi="宋体" w:cs="宋体"/>
          <w:snapToGrid w:val="0"/>
          <w:color w:val="auto"/>
          <w:szCs w:val="21"/>
          <w:highlight w:val="none"/>
        </w:rPr>
        <w:t>应根据招标文件所提出的技术规格、参数、数量和服务要求，综合考虑货物的适应性，选择具有最佳性能价格比的货物前来报价。希望</w:t>
      </w:r>
      <w:r>
        <w:rPr>
          <w:rFonts w:hint="eastAsia" w:ascii="宋体" w:hAnsi="宋体" w:cs="宋体"/>
          <w:snapToGrid w:val="0"/>
          <w:color w:val="auto"/>
          <w:szCs w:val="21"/>
          <w:highlight w:val="none"/>
          <w:lang w:eastAsia="zh-CN"/>
        </w:rPr>
        <w:t>投标人</w:t>
      </w:r>
      <w:r>
        <w:rPr>
          <w:rFonts w:hint="eastAsia" w:ascii="宋体" w:hAnsi="宋体" w:cs="宋体"/>
          <w:snapToGrid w:val="0"/>
          <w:color w:val="auto"/>
          <w:szCs w:val="21"/>
          <w:highlight w:val="none"/>
        </w:rPr>
        <w:t>以精良的货物、优良的服务和优惠的价格，充分显示自身的竞争实力。</w:t>
      </w:r>
    </w:p>
    <w:p>
      <w:pPr>
        <w:spacing w:line="360" w:lineRule="auto"/>
        <w:ind w:firstLine="420" w:firstLineChars="200"/>
        <w:rPr>
          <w:rFonts w:hint="eastAsia" w:ascii="宋体" w:hAnsi="宋体" w:cs="宋体"/>
          <w:b/>
          <w:bCs/>
          <w:color w:val="auto"/>
          <w:kern w:val="44"/>
          <w:szCs w:val="21"/>
          <w:highlight w:val="none"/>
        </w:rPr>
      </w:pPr>
      <w:r>
        <w:rPr>
          <w:rFonts w:hint="eastAsia" w:ascii="宋体" w:hAnsi="宋体" w:cs="宋体"/>
          <w:snapToGrid w:val="0"/>
          <w:color w:val="auto"/>
          <w:szCs w:val="21"/>
          <w:highlight w:val="none"/>
        </w:rPr>
        <w:t>4、</w:t>
      </w:r>
      <w:r>
        <w:rPr>
          <w:rFonts w:hint="eastAsia" w:ascii="宋体" w:hAnsi="宋体" w:cs="宋体"/>
          <w:snapToGrid w:val="0"/>
          <w:color w:val="auto"/>
          <w:szCs w:val="21"/>
          <w:highlight w:val="none"/>
          <w:lang w:val="en-US" w:eastAsia="zh-CN"/>
        </w:rPr>
        <w:t>投标人</w:t>
      </w:r>
      <w:r>
        <w:rPr>
          <w:rFonts w:hint="eastAsia" w:ascii="宋体" w:hAnsi="宋体" w:cs="宋体"/>
          <w:snapToGrid w:val="0"/>
          <w:color w:val="auto"/>
          <w:szCs w:val="21"/>
          <w:highlight w:val="none"/>
        </w:rPr>
        <w:t>所投产品及主要部件的名称、品牌、型号、技术参数、性能、报价费率等应在投标文件中明确，如有偏离应在偏离表中注明，不允许出现负偏离。</w:t>
      </w:r>
    </w:p>
    <w:p>
      <w:pPr>
        <w:tabs>
          <w:tab w:val="left" w:pos="360"/>
        </w:tabs>
        <w:spacing w:line="360" w:lineRule="auto"/>
        <w:outlineLvl w:val="1"/>
        <w:rPr>
          <w:rFonts w:hint="eastAsia" w:ascii="宋体" w:hAnsi="宋体" w:cs="宋体"/>
          <w:b/>
          <w:color w:val="auto"/>
          <w:szCs w:val="21"/>
          <w:highlight w:val="none"/>
        </w:rPr>
      </w:pPr>
      <w:r>
        <w:rPr>
          <w:rFonts w:hint="eastAsia" w:ascii="宋体" w:hAnsi="宋体" w:cs="宋体"/>
          <w:b/>
          <w:color w:val="auto"/>
          <w:szCs w:val="21"/>
          <w:highlight w:val="none"/>
        </w:rPr>
        <w:t>二、</w:t>
      </w:r>
      <w:bookmarkStart w:id="3" w:name="_Toc27987"/>
      <w:r>
        <w:rPr>
          <w:rFonts w:hint="eastAsia" w:ascii="宋体" w:hAnsi="宋体" w:cs="宋体"/>
          <w:b/>
          <w:color w:val="auto"/>
          <w:szCs w:val="21"/>
          <w:highlight w:val="none"/>
        </w:rPr>
        <w:t>货物需求一览表</w:t>
      </w:r>
      <w:bookmarkEnd w:id="3"/>
    </w:p>
    <w:tbl>
      <w:tblPr>
        <w:tblStyle w:val="9"/>
        <w:tblW w:w="58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1566"/>
        <w:gridCol w:w="1392"/>
        <w:gridCol w:w="568"/>
        <w:gridCol w:w="753"/>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561"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566" w:type="dxa"/>
            <w:tcBorders>
              <w:top w:val="single" w:color="auto" w:sz="4" w:space="0"/>
              <w:left w:val="nil"/>
              <w:bottom w:val="single" w:color="auto" w:sz="4" w:space="0"/>
              <w:right w:val="single" w:color="auto" w:sz="4" w:space="0"/>
            </w:tcBorders>
            <w:noWrap/>
            <w:vAlign w:val="center"/>
          </w:tcPr>
          <w:p>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产品名称</w:t>
            </w:r>
          </w:p>
        </w:tc>
        <w:tc>
          <w:tcPr>
            <w:tcW w:w="1392" w:type="dxa"/>
            <w:tcBorders>
              <w:top w:val="single" w:color="auto" w:sz="4" w:space="0"/>
              <w:left w:val="nil"/>
              <w:bottom w:val="single" w:color="auto" w:sz="4" w:space="0"/>
              <w:right w:val="single" w:color="auto" w:sz="4" w:space="0"/>
            </w:tcBorders>
            <w:noWrap/>
            <w:vAlign w:val="center"/>
          </w:tcPr>
          <w:p>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规格型号</w:t>
            </w:r>
          </w:p>
        </w:tc>
        <w:tc>
          <w:tcPr>
            <w:tcW w:w="568"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c>
          <w:tcPr>
            <w:tcW w:w="75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单价限价(元)</w:t>
            </w:r>
          </w:p>
        </w:tc>
        <w:tc>
          <w:tcPr>
            <w:tcW w:w="595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561"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66" w:type="dxa"/>
            <w:tcBorders>
              <w:top w:val="single" w:color="auto" w:sz="4" w:space="0"/>
              <w:left w:val="nil"/>
              <w:bottom w:val="single" w:color="auto" w:sz="4" w:space="0"/>
              <w:right w:val="single" w:color="auto" w:sz="4" w:space="0"/>
            </w:tcBorders>
            <w:noWrap/>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压力蒸汽灭菌化学指示卡</w:t>
            </w:r>
          </w:p>
        </w:tc>
        <w:tc>
          <w:tcPr>
            <w:tcW w:w="1392" w:type="dxa"/>
            <w:tcBorders>
              <w:top w:val="single" w:color="auto" w:sz="4" w:space="0"/>
              <w:left w:val="nil"/>
              <w:bottom w:val="single" w:color="auto" w:sz="4" w:space="0"/>
              <w:right w:val="single" w:color="auto" w:sz="4" w:space="0"/>
            </w:tcBorders>
            <w:noWrap/>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200张/盒</w:t>
            </w:r>
          </w:p>
        </w:tc>
        <w:tc>
          <w:tcPr>
            <w:tcW w:w="568"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盒</w:t>
            </w:r>
          </w:p>
        </w:tc>
        <w:tc>
          <w:tcPr>
            <w:tcW w:w="75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5</w:t>
            </w:r>
          </w:p>
        </w:tc>
        <w:tc>
          <w:tcPr>
            <w:tcW w:w="5953"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①</w:t>
            </w:r>
            <w:r>
              <w:rPr>
                <w:rFonts w:hint="eastAsia" w:ascii="宋体" w:hAnsi="宋体" w:eastAsia="宋体" w:cs="宋体"/>
                <w:color w:val="auto"/>
                <w:sz w:val="21"/>
                <w:szCs w:val="21"/>
                <w:highlight w:val="none"/>
              </w:rPr>
              <w:t>适用医疗防疫机构对134℃，作用4min的预真空压力蒸汽灭菌处理的监测</w:t>
            </w:r>
            <w:r>
              <w:rPr>
                <w:rFonts w:hint="eastAsia" w:ascii="宋体" w:hAnsi="宋体" w:eastAsia="宋体" w:cs="宋体"/>
                <w:color w:val="auto"/>
                <w:sz w:val="21"/>
                <w:szCs w:val="21"/>
                <w:highlight w:val="none"/>
                <w:lang w:eastAsia="zh-CN"/>
              </w:rPr>
              <w:t>。</w:t>
            </w:r>
          </w:p>
          <w:p>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化学指示物为无铅设计，表面覆膜防水，可提供多种尺寸供科室选择使用</w:t>
            </w:r>
            <w:r>
              <w:rPr>
                <w:rFonts w:hint="eastAsia" w:ascii="宋体" w:hAnsi="宋体" w:eastAsia="宋体" w:cs="宋体"/>
                <w:color w:val="auto"/>
                <w:sz w:val="21"/>
                <w:szCs w:val="21"/>
                <w:highlight w:val="none"/>
                <w:lang w:eastAsia="zh-CN"/>
              </w:rPr>
              <w:t>。</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shd w:val="clear" w:color="auto" w:fill="auto"/>
                <w:lang w:val="en-US" w:eastAsia="zh-CN"/>
              </w:rPr>
              <w:t>③</w:t>
            </w:r>
            <w:r>
              <w:rPr>
                <w:rFonts w:hint="eastAsia" w:ascii="宋体" w:hAnsi="宋体" w:eastAsia="宋体" w:cs="宋体"/>
                <w:b w:val="0"/>
                <w:bCs w:val="0"/>
                <w:color w:val="auto"/>
                <w:sz w:val="21"/>
                <w:szCs w:val="21"/>
                <w:highlight w:val="none"/>
                <w:shd w:val="clear" w:color="auto" w:fill="auto"/>
              </w:rPr>
              <w:t>符合GB18282.1要求，</w:t>
            </w:r>
            <w:r>
              <w:rPr>
                <w:rFonts w:hint="eastAsia" w:ascii="宋体" w:hAnsi="宋体" w:eastAsia="宋体" w:cs="宋体"/>
                <w:b/>
                <w:bCs/>
                <w:color w:val="auto"/>
                <w:sz w:val="21"/>
                <w:szCs w:val="21"/>
                <w:highlight w:val="none"/>
                <w:shd w:val="clear" w:color="auto" w:fill="auto"/>
                <w:lang w:val="en-US" w:eastAsia="zh-CN"/>
              </w:rPr>
              <w:t>须在投标文件中</w:t>
            </w:r>
            <w:r>
              <w:rPr>
                <w:rFonts w:hint="eastAsia" w:ascii="宋体" w:hAnsi="宋体" w:eastAsia="宋体" w:cs="宋体"/>
                <w:b/>
                <w:bCs/>
                <w:color w:val="auto"/>
                <w:sz w:val="21"/>
                <w:szCs w:val="21"/>
                <w:highlight w:val="none"/>
                <w:shd w:val="clear" w:color="auto" w:fill="auto"/>
              </w:rPr>
              <w:t>提供符合资质第三方检测机构出具的产品检验报告</w:t>
            </w:r>
            <w:r>
              <w:rPr>
                <w:rFonts w:hint="eastAsia" w:ascii="宋体" w:hAnsi="宋体" w:eastAsia="宋体" w:cs="宋体"/>
                <w:b/>
                <w:bCs/>
                <w:color w:val="auto"/>
                <w:sz w:val="21"/>
                <w:szCs w:val="21"/>
                <w:highlight w:val="none"/>
                <w:shd w:val="clear" w:color="auto" w:fill="auto"/>
                <w:lang w:val="en-US" w:eastAsia="zh-CN"/>
              </w:rPr>
              <w:t>复印件</w:t>
            </w:r>
            <w:r>
              <w:rPr>
                <w:rFonts w:hint="eastAsia" w:ascii="宋体" w:hAnsi="宋体" w:eastAsia="宋体" w:cs="宋体"/>
                <w:b/>
                <w:bCs/>
                <w:color w:val="auto"/>
                <w:sz w:val="21"/>
                <w:szCs w:val="21"/>
                <w:highlight w:val="none"/>
                <w:lang w:val="en-US" w:eastAsia="zh-CN"/>
              </w:rPr>
              <w:t>或影印件或扫描件</w:t>
            </w:r>
            <w:r>
              <w:rPr>
                <w:rFonts w:hint="eastAsia" w:ascii="宋体" w:hAnsi="宋体" w:eastAsia="宋体" w:cs="宋体"/>
                <w:b/>
                <w:bCs/>
                <w:color w:val="auto"/>
                <w:sz w:val="21"/>
                <w:szCs w:val="21"/>
                <w:highlight w:val="none"/>
                <w:shd w:val="clear" w:color="auto" w:fill="auto"/>
                <w:lang w:eastAsia="zh-CN"/>
              </w:rPr>
              <w:t>。</w:t>
            </w:r>
            <w:r>
              <w:rPr>
                <w:rFonts w:hint="eastAsia" w:ascii="宋体" w:hAnsi="宋体" w:eastAsia="宋体" w:cs="宋体"/>
                <w:color w:val="auto"/>
                <w:sz w:val="21"/>
                <w:szCs w:val="21"/>
                <w:highlight w:val="none"/>
              </w:rPr>
              <w:t xml:space="preserve"> </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④</w:t>
            </w:r>
            <w:r>
              <w:rPr>
                <w:rFonts w:hint="eastAsia" w:ascii="宋体" w:hAnsi="宋体" w:eastAsia="宋体" w:cs="宋体"/>
                <w:color w:val="auto"/>
                <w:sz w:val="21"/>
                <w:szCs w:val="21"/>
                <w:highlight w:val="none"/>
              </w:rPr>
              <w:t>适用于本院设备。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561"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566" w:type="dxa"/>
            <w:tcBorders>
              <w:top w:val="single" w:color="auto" w:sz="4" w:space="0"/>
              <w:left w:val="nil"/>
              <w:bottom w:val="single" w:color="auto" w:sz="4" w:space="0"/>
              <w:right w:val="single" w:color="auto" w:sz="4" w:space="0"/>
            </w:tcBorders>
            <w:noWrap/>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灭菌书写指示胶带（压力蒸汽用）</w:t>
            </w:r>
          </w:p>
        </w:tc>
        <w:tc>
          <w:tcPr>
            <w:tcW w:w="1392" w:type="dxa"/>
            <w:tcBorders>
              <w:top w:val="single" w:color="auto" w:sz="4" w:space="0"/>
              <w:left w:val="nil"/>
              <w:bottom w:val="single" w:color="auto" w:sz="4" w:space="0"/>
              <w:right w:val="single" w:color="auto" w:sz="4" w:space="0"/>
            </w:tcBorders>
            <w:noWrap/>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840片/袋</w:t>
            </w:r>
          </w:p>
        </w:tc>
        <w:tc>
          <w:tcPr>
            <w:tcW w:w="568"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片</w:t>
            </w:r>
          </w:p>
        </w:tc>
        <w:tc>
          <w:tcPr>
            <w:tcW w:w="75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0.13</w:t>
            </w:r>
          </w:p>
        </w:tc>
        <w:tc>
          <w:tcPr>
            <w:tcW w:w="5953" w:type="dxa"/>
            <w:tcBorders>
              <w:top w:val="single" w:color="auto" w:sz="4" w:space="0"/>
              <w:left w:val="nil"/>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① 适用范围：本产品适用于本院脉动真空灭菌器的灭菌过程指示。</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② 标签表面印有条形化学知识剂，在饱和蒸汽的湿热作用下变色，已确认是否经过相应灭菌。</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③ 标签印有物品名称、检查打包者姓名或代号、灭菌器编号、批次号、灭菌日期和失效日期的六项标识。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1"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566" w:type="dxa"/>
            <w:tcBorders>
              <w:top w:val="single" w:color="auto" w:sz="4" w:space="0"/>
              <w:left w:val="nil"/>
              <w:bottom w:val="single" w:color="auto" w:sz="4" w:space="0"/>
              <w:right w:val="single" w:color="auto" w:sz="4" w:space="0"/>
            </w:tcBorders>
            <w:noWrap/>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压力蒸汽灭菌包内化学指示卡（爬行卡）</w:t>
            </w:r>
          </w:p>
        </w:tc>
        <w:tc>
          <w:tcPr>
            <w:tcW w:w="1392" w:type="dxa"/>
            <w:tcBorders>
              <w:top w:val="single" w:color="auto" w:sz="4" w:space="0"/>
              <w:left w:val="nil"/>
              <w:bottom w:val="single" w:color="auto" w:sz="4" w:space="0"/>
              <w:right w:val="single" w:color="auto" w:sz="4" w:space="0"/>
            </w:tcBorders>
            <w:noWrap/>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200片/袋</w:t>
            </w:r>
          </w:p>
        </w:tc>
        <w:tc>
          <w:tcPr>
            <w:tcW w:w="568"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片</w:t>
            </w:r>
          </w:p>
        </w:tc>
        <w:tc>
          <w:tcPr>
            <w:tcW w:w="75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0.9</w:t>
            </w:r>
          </w:p>
        </w:tc>
        <w:tc>
          <w:tcPr>
            <w:tcW w:w="5953"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①</w:t>
            </w:r>
            <w:r>
              <w:rPr>
                <w:rFonts w:hint="eastAsia" w:ascii="宋体" w:hAnsi="宋体" w:eastAsia="宋体" w:cs="宋体"/>
                <w:color w:val="auto"/>
                <w:sz w:val="21"/>
                <w:szCs w:val="21"/>
                <w:highlight w:val="none"/>
              </w:rPr>
              <w:t>由金属载片、指示药片、显色指示条、透气薄膜和阅读标签组成，通过黑色溶解物爬行的距离来确定主要参数（温度、时间、蒸汽饱和度）是否达到要求</w:t>
            </w:r>
            <w:r>
              <w:rPr>
                <w:rFonts w:hint="eastAsia" w:ascii="宋体" w:hAnsi="宋体" w:cs="宋体"/>
                <w:color w:val="auto"/>
                <w:sz w:val="21"/>
                <w:szCs w:val="21"/>
                <w:highlight w:val="none"/>
                <w:lang w:eastAsia="zh-CN"/>
              </w:rPr>
              <w:t>。</w:t>
            </w:r>
          </w:p>
          <w:p>
            <w:pPr>
              <w:spacing w:line="240" w:lineRule="auto"/>
              <w:rPr>
                <w:rFonts w:hint="eastAsia" w:ascii="宋体" w:hAnsi="宋体" w:eastAsia="宋体" w:cs="宋体"/>
                <w:color w:val="auto"/>
                <w:sz w:val="21"/>
                <w:szCs w:val="21"/>
                <w:highlight w:val="none"/>
              </w:rPr>
            </w:pPr>
            <w:r>
              <w:rPr>
                <w:rFonts w:hint="eastAsia" w:ascii="宋体" w:hAnsi="宋体" w:cs="宋体"/>
                <w:b w:val="0"/>
                <w:bCs w:val="0"/>
                <w:color w:val="auto"/>
                <w:sz w:val="21"/>
                <w:szCs w:val="21"/>
                <w:highlight w:val="none"/>
                <w:shd w:val="clear" w:color="auto" w:fill="auto"/>
                <w:lang w:val="en-US" w:eastAsia="zh-CN"/>
              </w:rPr>
              <w:t>②</w:t>
            </w:r>
            <w:r>
              <w:rPr>
                <w:rFonts w:hint="eastAsia" w:ascii="宋体" w:hAnsi="宋体" w:eastAsia="宋体" w:cs="宋体"/>
                <w:b w:val="0"/>
                <w:bCs w:val="0"/>
                <w:color w:val="auto"/>
                <w:sz w:val="21"/>
                <w:szCs w:val="21"/>
                <w:highlight w:val="none"/>
                <w:shd w:val="clear" w:color="auto" w:fill="auto"/>
                <w:lang w:val="en-US" w:eastAsia="zh-CN"/>
              </w:rPr>
              <w:t>符合GB18282.1中对五类指示的设计要求，</w:t>
            </w:r>
            <w:r>
              <w:rPr>
                <w:rFonts w:hint="eastAsia" w:ascii="宋体" w:hAnsi="宋体" w:eastAsia="宋体" w:cs="宋体"/>
                <w:b/>
                <w:bCs/>
                <w:color w:val="auto"/>
                <w:sz w:val="21"/>
                <w:szCs w:val="21"/>
                <w:highlight w:val="none"/>
                <w:shd w:val="clear" w:color="auto" w:fill="auto"/>
                <w:lang w:val="en-US" w:eastAsia="zh-CN"/>
              </w:rPr>
              <w:t>须在投标文件中提供符合资质第三方检测机构出具的产品检验报告复印件</w:t>
            </w:r>
            <w:r>
              <w:rPr>
                <w:rFonts w:hint="eastAsia" w:ascii="宋体" w:hAnsi="宋体" w:eastAsia="宋体" w:cs="宋体"/>
                <w:b/>
                <w:bCs/>
                <w:color w:val="auto"/>
                <w:sz w:val="21"/>
                <w:szCs w:val="21"/>
                <w:highlight w:val="none"/>
                <w:lang w:val="en-US" w:eastAsia="zh-CN"/>
              </w:rPr>
              <w:t>或影印件或扫描件</w:t>
            </w:r>
            <w:r>
              <w:rPr>
                <w:rFonts w:hint="eastAsia" w:ascii="宋体" w:hAnsi="宋体" w:cs="宋体"/>
                <w:b/>
                <w:bCs/>
                <w:color w:val="auto"/>
                <w:sz w:val="21"/>
                <w:szCs w:val="21"/>
                <w:highlight w:val="none"/>
                <w:shd w:val="clear" w:color="auto" w:fill="auto"/>
                <w:lang w:val="en-US" w:eastAsia="zh-CN"/>
              </w:rPr>
              <w:t>。</w:t>
            </w:r>
            <w:r>
              <w:rPr>
                <w:rFonts w:hint="eastAsia" w:ascii="宋体" w:hAnsi="宋体" w:eastAsia="宋体" w:cs="宋体"/>
                <w:color w:val="auto"/>
                <w:sz w:val="21"/>
                <w:szCs w:val="21"/>
                <w:highlight w:val="none"/>
              </w:rPr>
              <w:t xml:space="preserve">                                                     </w:t>
            </w:r>
          </w:p>
          <w:p>
            <w:pPr>
              <w:spacing w:line="24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③</w:t>
            </w:r>
            <w:r>
              <w:rPr>
                <w:rFonts w:hint="eastAsia" w:ascii="宋体" w:hAnsi="宋体" w:eastAsia="宋体" w:cs="宋体"/>
                <w:color w:val="auto"/>
                <w:sz w:val="21"/>
                <w:szCs w:val="21"/>
                <w:highlight w:val="none"/>
              </w:rPr>
              <w:t xml:space="preserve">适用于本院设备。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561"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566" w:type="dxa"/>
            <w:tcBorders>
              <w:top w:val="single" w:color="auto" w:sz="4" w:space="0"/>
              <w:left w:val="nil"/>
              <w:bottom w:val="single" w:color="auto" w:sz="4" w:space="0"/>
              <w:right w:val="single" w:color="auto" w:sz="4" w:space="0"/>
            </w:tcBorders>
            <w:noWrap/>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蒸汽灭菌指示胶带</w:t>
            </w:r>
          </w:p>
        </w:tc>
        <w:tc>
          <w:tcPr>
            <w:tcW w:w="1392" w:type="dxa"/>
            <w:tcBorders>
              <w:top w:val="single" w:color="auto" w:sz="4" w:space="0"/>
              <w:left w:val="nil"/>
              <w:bottom w:val="single" w:color="auto" w:sz="4" w:space="0"/>
              <w:right w:val="single" w:color="auto" w:sz="4" w:space="0"/>
            </w:tcBorders>
            <w:noWrap/>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24mm*30m</w:t>
            </w:r>
          </w:p>
        </w:tc>
        <w:tc>
          <w:tcPr>
            <w:tcW w:w="568"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卷</w:t>
            </w:r>
          </w:p>
        </w:tc>
        <w:tc>
          <w:tcPr>
            <w:tcW w:w="75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5953" w:type="dxa"/>
            <w:tcBorders>
              <w:top w:val="single" w:color="auto" w:sz="4" w:space="0"/>
              <w:left w:val="nil"/>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①适用范围：适用于待压力蒸汽灭菌物品的外包装封包。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②采用胶粘带形式，选用国内外优质特殊纸，强度高，具有一定的伸缩性，且在上面能用任何标记笔书写相关内容，胶粘剂用特殊压敏胶，耐高温，粘贴牢固。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③可自由截取适当长度，贴于待灭菌包裹表面。                             ④适用于本院设备。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561" w:type="dxa"/>
            <w:vMerge w:val="restart"/>
            <w:tcBorders>
              <w:top w:val="nil"/>
              <w:left w:val="single" w:color="auto" w:sz="4" w:space="0"/>
              <w:bottom w:val="single" w:color="auto" w:sz="4" w:space="0"/>
              <w:right w:val="single" w:color="auto" w:sz="4" w:space="0"/>
            </w:tcBorders>
            <w:noWrap/>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566" w:type="dxa"/>
            <w:vMerge w:val="restart"/>
            <w:tcBorders>
              <w:top w:val="nil"/>
              <w:left w:val="nil"/>
              <w:bottom w:val="single" w:color="auto" w:sz="4" w:space="0"/>
              <w:right w:val="single" w:color="auto" w:sz="4" w:space="0"/>
            </w:tcBorders>
            <w:noWrap/>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医用灭菌包装无纺布</w:t>
            </w:r>
          </w:p>
        </w:tc>
        <w:tc>
          <w:tcPr>
            <w:tcW w:w="1392" w:type="dxa"/>
            <w:tcBorders>
              <w:top w:val="single" w:color="auto" w:sz="4" w:space="0"/>
              <w:left w:val="nil"/>
              <w:right w:val="single" w:color="auto" w:sz="4" w:space="0"/>
            </w:tcBorders>
            <w:noWrap/>
            <w:vAlign w:val="center"/>
          </w:tcPr>
          <w:p>
            <w:pPr>
              <w:spacing w:line="240" w:lineRule="auto"/>
              <w:jc w:val="center"/>
              <w:rPr>
                <w:rFonts w:hint="eastAsia" w:ascii="宋体" w:hAnsi="宋体" w:eastAsia="宋体" w:cs="宋体"/>
                <w:color w:val="auto"/>
                <w:sz w:val="21"/>
                <w:szCs w:val="21"/>
                <w:highlight w:val="none"/>
              </w:rPr>
            </w:pPr>
          </w:p>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60cm*60cm</w:t>
            </w:r>
          </w:p>
          <w:p>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p>
        </w:tc>
        <w:tc>
          <w:tcPr>
            <w:tcW w:w="568" w:type="dxa"/>
            <w:tcBorders>
              <w:top w:val="single" w:color="auto" w:sz="4" w:space="0"/>
              <w:left w:val="nil"/>
              <w:right w:val="sing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张</w:t>
            </w:r>
          </w:p>
        </w:tc>
        <w:tc>
          <w:tcPr>
            <w:tcW w:w="75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953" w:type="dxa"/>
            <w:vMerge w:val="restart"/>
            <w:tcBorders>
              <w:top w:val="nil"/>
              <w:left w:val="nil"/>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① 适用范围：适用于各类待灭菌物品的物品包装。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② 医用灭菌包装无纺布，至少4层构成，含微生物屏障层和抗撕裂粘纺层，微生物屏障层控制透气孔径，阻隔细菌；通过控制微生物屏障层的纤维细度和均匀度控制透气孔径达到阻隔微生物的目的。</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③ 通过第三方质量检测，全面覆盖GB/T 19633的检测项目，产品性能全面符合GB/T 19633，确保180天无菌有效期，</w:t>
            </w:r>
            <w:r>
              <w:rPr>
                <w:rFonts w:hint="eastAsia" w:ascii="宋体" w:hAnsi="宋体" w:eastAsia="宋体" w:cs="宋体"/>
                <w:b/>
                <w:bCs/>
                <w:color w:val="auto"/>
                <w:sz w:val="21"/>
                <w:szCs w:val="21"/>
                <w:highlight w:val="none"/>
                <w:lang w:val="en-US" w:eastAsia="zh-CN"/>
              </w:rPr>
              <w:t>须在投标文件中</w:t>
            </w:r>
            <w:r>
              <w:rPr>
                <w:rFonts w:hint="eastAsia" w:ascii="宋体" w:hAnsi="宋体" w:eastAsia="宋体" w:cs="宋体"/>
                <w:b/>
                <w:bCs/>
                <w:color w:val="auto"/>
                <w:sz w:val="21"/>
                <w:szCs w:val="21"/>
                <w:highlight w:val="none"/>
              </w:rPr>
              <w:t>提供由CMA中国计量单位认证的第三方检测机构提供的产品检测报告</w:t>
            </w:r>
            <w:r>
              <w:rPr>
                <w:rFonts w:hint="eastAsia" w:ascii="宋体" w:hAnsi="宋体" w:eastAsia="宋体" w:cs="宋体"/>
                <w:b/>
                <w:bCs/>
                <w:color w:val="auto"/>
                <w:sz w:val="21"/>
                <w:szCs w:val="21"/>
                <w:highlight w:val="none"/>
                <w:lang w:val="en-US" w:eastAsia="zh-CN"/>
              </w:rPr>
              <w:t>复印件或影印件或扫描件。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④ 可提供不同颜色，以便区分科室。                                      ⑤适用于本院设备。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561" w:type="dxa"/>
            <w:vMerge w:val="continue"/>
            <w:tcBorders>
              <w:top w:val="nil"/>
              <w:left w:val="single" w:color="auto" w:sz="4" w:space="0"/>
              <w:bottom w:val="single" w:color="auto" w:sz="4" w:space="0"/>
              <w:right w:val="single" w:color="auto" w:sz="4" w:space="0"/>
            </w:tcBorders>
            <w:noWrap w:val="0"/>
            <w:vAlign w:val="center"/>
          </w:tcPr>
          <w:p>
            <w:pPr>
              <w:spacing w:line="240" w:lineRule="auto"/>
              <w:rPr>
                <w:rFonts w:hint="eastAsia" w:ascii="宋体" w:hAnsi="宋体" w:eastAsia="宋体" w:cs="宋体"/>
                <w:color w:val="auto"/>
                <w:sz w:val="21"/>
                <w:szCs w:val="21"/>
                <w:highlight w:val="none"/>
              </w:rPr>
            </w:pPr>
          </w:p>
        </w:tc>
        <w:tc>
          <w:tcPr>
            <w:tcW w:w="1566" w:type="dxa"/>
            <w:vMerge w:val="continue"/>
            <w:tcBorders>
              <w:top w:val="nil"/>
              <w:left w:val="nil"/>
              <w:bottom w:val="single" w:color="auto" w:sz="4" w:space="0"/>
              <w:right w:val="single" w:color="auto" w:sz="4" w:space="0"/>
            </w:tcBorders>
            <w:noWrap w:val="0"/>
            <w:vAlign w:val="center"/>
          </w:tcPr>
          <w:p>
            <w:pPr>
              <w:spacing w:line="240" w:lineRule="auto"/>
              <w:rPr>
                <w:rFonts w:hint="eastAsia" w:ascii="宋体" w:hAnsi="宋体" w:eastAsia="宋体" w:cs="宋体"/>
                <w:color w:val="auto"/>
                <w:sz w:val="21"/>
                <w:szCs w:val="21"/>
                <w:highlight w:val="none"/>
              </w:rPr>
            </w:pPr>
          </w:p>
        </w:tc>
        <w:tc>
          <w:tcPr>
            <w:tcW w:w="1392" w:type="dxa"/>
            <w:tcBorders>
              <w:top w:val="single" w:color="auto" w:sz="4" w:space="0"/>
              <w:left w:val="nil"/>
              <w:bottom w:val="single" w:color="auto" w:sz="4" w:space="0"/>
              <w:right w:val="single" w:color="auto" w:sz="4" w:space="0"/>
            </w:tcBorders>
            <w:noWrap/>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70cm*70cm</w:t>
            </w:r>
          </w:p>
        </w:tc>
        <w:tc>
          <w:tcPr>
            <w:tcW w:w="568"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张</w:t>
            </w:r>
          </w:p>
        </w:tc>
        <w:tc>
          <w:tcPr>
            <w:tcW w:w="75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953" w:type="dxa"/>
            <w:vMerge w:val="continue"/>
            <w:tcBorders>
              <w:top w:val="nil"/>
              <w:left w:val="nil"/>
              <w:bottom w:val="single" w:color="auto" w:sz="4" w:space="0"/>
              <w:right w:val="single" w:color="auto" w:sz="4" w:space="0"/>
            </w:tcBorders>
            <w:noWrap w:val="0"/>
            <w:vAlign w:val="center"/>
          </w:tcPr>
          <w:p>
            <w:pPr>
              <w:spacing w:line="24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561" w:type="dxa"/>
            <w:vMerge w:val="continue"/>
            <w:tcBorders>
              <w:top w:val="nil"/>
              <w:left w:val="single" w:color="auto" w:sz="4" w:space="0"/>
              <w:bottom w:val="single" w:color="auto" w:sz="4" w:space="0"/>
              <w:right w:val="single" w:color="auto" w:sz="4" w:space="0"/>
            </w:tcBorders>
            <w:noWrap w:val="0"/>
            <w:vAlign w:val="center"/>
          </w:tcPr>
          <w:p>
            <w:pPr>
              <w:spacing w:line="240" w:lineRule="auto"/>
              <w:rPr>
                <w:rFonts w:hint="eastAsia" w:ascii="宋体" w:hAnsi="宋体" w:eastAsia="宋体" w:cs="宋体"/>
                <w:color w:val="auto"/>
                <w:sz w:val="21"/>
                <w:szCs w:val="21"/>
                <w:highlight w:val="none"/>
              </w:rPr>
            </w:pPr>
          </w:p>
        </w:tc>
        <w:tc>
          <w:tcPr>
            <w:tcW w:w="1566" w:type="dxa"/>
            <w:vMerge w:val="continue"/>
            <w:tcBorders>
              <w:top w:val="nil"/>
              <w:left w:val="nil"/>
              <w:bottom w:val="single" w:color="auto" w:sz="4" w:space="0"/>
              <w:right w:val="single" w:color="auto" w:sz="4" w:space="0"/>
            </w:tcBorders>
            <w:noWrap w:val="0"/>
            <w:vAlign w:val="center"/>
          </w:tcPr>
          <w:p>
            <w:pPr>
              <w:spacing w:line="240" w:lineRule="auto"/>
              <w:rPr>
                <w:rFonts w:hint="eastAsia" w:ascii="宋体" w:hAnsi="宋体" w:eastAsia="宋体" w:cs="宋体"/>
                <w:color w:val="auto"/>
                <w:sz w:val="21"/>
                <w:szCs w:val="21"/>
                <w:highlight w:val="none"/>
              </w:rPr>
            </w:pPr>
          </w:p>
        </w:tc>
        <w:tc>
          <w:tcPr>
            <w:tcW w:w="1392" w:type="dxa"/>
            <w:tcBorders>
              <w:top w:val="single" w:color="auto" w:sz="4" w:space="0"/>
              <w:left w:val="nil"/>
              <w:bottom w:val="single" w:color="auto" w:sz="4" w:space="0"/>
              <w:right w:val="single" w:color="auto" w:sz="4" w:space="0"/>
            </w:tcBorders>
            <w:noWrap/>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120cm*120cm</w:t>
            </w:r>
          </w:p>
        </w:tc>
        <w:tc>
          <w:tcPr>
            <w:tcW w:w="568"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张</w:t>
            </w:r>
          </w:p>
        </w:tc>
        <w:tc>
          <w:tcPr>
            <w:tcW w:w="75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5953" w:type="dxa"/>
            <w:vMerge w:val="continue"/>
            <w:tcBorders>
              <w:top w:val="nil"/>
              <w:left w:val="nil"/>
              <w:bottom w:val="single" w:color="auto" w:sz="4" w:space="0"/>
              <w:right w:val="single" w:color="auto" w:sz="4" w:space="0"/>
            </w:tcBorders>
            <w:noWrap w:val="0"/>
            <w:vAlign w:val="center"/>
          </w:tcPr>
          <w:p>
            <w:pPr>
              <w:spacing w:line="24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561" w:type="dxa"/>
            <w:vMerge w:val="restart"/>
            <w:tcBorders>
              <w:top w:val="single" w:color="auto" w:sz="4" w:space="0"/>
              <w:left w:val="single" w:color="auto" w:sz="4" w:space="0"/>
              <w:right w:val="single" w:color="auto" w:sz="4" w:space="0"/>
            </w:tcBorders>
            <w:noWrap/>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566" w:type="dxa"/>
            <w:vMerge w:val="restart"/>
            <w:tcBorders>
              <w:top w:val="single" w:color="auto" w:sz="4" w:space="0"/>
              <w:left w:val="nil"/>
              <w:right w:val="sing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压力蒸汽灭菌纸塑包装袋</w:t>
            </w:r>
          </w:p>
        </w:tc>
        <w:tc>
          <w:tcPr>
            <w:tcW w:w="139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150mm*100m</w:t>
            </w:r>
          </w:p>
        </w:tc>
        <w:tc>
          <w:tcPr>
            <w:tcW w:w="56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卷</w:t>
            </w:r>
          </w:p>
        </w:tc>
        <w:tc>
          <w:tcPr>
            <w:tcW w:w="75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5953" w:type="dxa"/>
            <w:vMerge w:val="restart"/>
            <w:tcBorders>
              <w:top w:val="single" w:color="auto" w:sz="4" w:space="0"/>
              <w:left w:val="nil"/>
              <w:right w:val="single" w:color="auto" w:sz="4" w:space="0"/>
            </w:tcBorders>
            <w:noWrap w:val="0"/>
            <w:vAlign w:val="center"/>
          </w:tcPr>
          <w:p>
            <w:pPr>
              <w:numPr>
                <w:ilvl w:val="0"/>
                <w:numId w:val="0"/>
              </w:numPr>
              <w:spacing w:line="240" w:lineRule="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①产品适用范围：应适用于压力蒸汽灭菌与环氧乙烷灭菌的物品包装，指示灭菌过程。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②产品材质：产品由塑料复合膜与医用透析纸烫合而成，医用透析纸重量应达到70g重，塑料复合膜应具有高透明度，用于实时监测包内器械状态，同时应具有良好透气性能，以便于灭菌介质的进入和排出。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③产品质量：产品应具有通过权威机构按照GB/T 19633规范要求内项目的逐批次验证报告。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④ 产品生产企业：应通过ISO 9001</w:t>
            </w:r>
            <w:r>
              <w:rPr>
                <w:rFonts w:hint="eastAsia" w:ascii="宋体" w:hAnsi="宋体" w:cs="宋体"/>
                <w:i w:val="0"/>
                <w:iCs w:val="0"/>
                <w:color w:val="auto"/>
                <w:kern w:val="0"/>
                <w:sz w:val="21"/>
                <w:szCs w:val="21"/>
                <w:highlight w:val="none"/>
                <w:u w:val="none"/>
                <w:lang w:val="en-US" w:eastAsia="zh-CN" w:bidi="ar"/>
              </w:rPr>
              <w:t>或</w:t>
            </w:r>
            <w:r>
              <w:rPr>
                <w:rFonts w:hint="eastAsia" w:ascii="宋体" w:hAnsi="宋体" w:eastAsia="宋体" w:cs="宋体"/>
                <w:i w:val="0"/>
                <w:iCs w:val="0"/>
                <w:color w:val="auto"/>
                <w:kern w:val="0"/>
                <w:sz w:val="21"/>
                <w:szCs w:val="21"/>
                <w:highlight w:val="none"/>
                <w:u w:val="none"/>
                <w:lang w:val="en-US" w:eastAsia="zh-CN" w:bidi="ar"/>
              </w:rPr>
              <w:t>ISO 13485国际质量体系认证。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⑤产品性能：可根据要求提供科室要求的单体纸塑包装袋。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⑥产品性能：应具有优异阻菌性能，在规范的储存条件下，无菌有效期达到180天。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⑦产品性能：应印刷有压力蒸汽灭菌、环氧乙烷灭菌双指示物，用于区分产品内器械灭菌情况以及灭菌方式的不同。                                        </w:t>
            </w:r>
          </w:p>
          <w:p>
            <w:pPr>
              <w:numPr>
                <w:ilvl w:val="0"/>
                <w:numId w:val="0"/>
              </w:numPr>
              <w:spacing w:line="240" w:lineRule="auto"/>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⑧适用于本院设备。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561" w:type="dxa"/>
            <w:vMerge w:val="continue"/>
            <w:tcBorders>
              <w:left w:val="single" w:color="auto" w:sz="4" w:space="0"/>
              <w:right w:val="single" w:color="auto" w:sz="4" w:space="0"/>
            </w:tcBorders>
            <w:noWrap/>
            <w:vAlign w:val="center"/>
          </w:tcPr>
          <w:p>
            <w:pPr>
              <w:spacing w:line="240" w:lineRule="auto"/>
              <w:jc w:val="center"/>
              <w:rPr>
                <w:rFonts w:hint="eastAsia" w:ascii="宋体" w:hAnsi="宋体" w:eastAsia="宋体" w:cs="宋体"/>
                <w:color w:val="auto"/>
                <w:sz w:val="21"/>
                <w:szCs w:val="21"/>
                <w:highlight w:val="none"/>
              </w:rPr>
            </w:pPr>
          </w:p>
        </w:tc>
        <w:tc>
          <w:tcPr>
            <w:tcW w:w="1566"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139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100mm*100m</w:t>
            </w:r>
          </w:p>
        </w:tc>
        <w:tc>
          <w:tcPr>
            <w:tcW w:w="56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卷</w:t>
            </w:r>
          </w:p>
        </w:tc>
        <w:tc>
          <w:tcPr>
            <w:tcW w:w="75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105</w:t>
            </w:r>
          </w:p>
        </w:tc>
        <w:tc>
          <w:tcPr>
            <w:tcW w:w="5953"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561" w:type="dxa"/>
            <w:vMerge w:val="continue"/>
            <w:tcBorders>
              <w:left w:val="single" w:color="auto" w:sz="4" w:space="0"/>
              <w:right w:val="single" w:color="auto" w:sz="4" w:space="0"/>
            </w:tcBorders>
            <w:noWrap/>
            <w:vAlign w:val="center"/>
          </w:tcPr>
          <w:p>
            <w:pPr>
              <w:spacing w:line="240" w:lineRule="auto"/>
              <w:jc w:val="center"/>
              <w:rPr>
                <w:rFonts w:hint="eastAsia" w:ascii="宋体" w:hAnsi="宋体" w:eastAsia="宋体" w:cs="宋体"/>
                <w:color w:val="auto"/>
                <w:sz w:val="21"/>
                <w:szCs w:val="21"/>
                <w:highlight w:val="none"/>
              </w:rPr>
            </w:pPr>
          </w:p>
        </w:tc>
        <w:tc>
          <w:tcPr>
            <w:tcW w:w="1566"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139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200mm*100m</w:t>
            </w:r>
          </w:p>
        </w:tc>
        <w:tc>
          <w:tcPr>
            <w:tcW w:w="56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卷</w:t>
            </w:r>
          </w:p>
        </w:tc>
        <w:tc>
          <w:tcPr>
            <w:tcW w:w="75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190</w:t>
            </w:r>
          </w:p>
        </w:tc>
        <w:tc>
          <w:tcPr>
            <w:tcW w:w="5953" w:type="dxa"/>
            <w:vMerge w:val="continue"/>
            <w:tcBorders>
              <w:left w:val="nil"/>
              <w:right w:val="sing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1" w:type="dxa"/>
            <w:vMerge w:val="continue"/>
            <w:tcBorders>
              <w:left w:val="single" w:color="auto" w:sz="4" w:space="0"/>
              <w:bottom w:val="single" w:color="auto" w:sz="4" w:space="0"/>
              <w:right w:val="single" w:color="auto" w:sz="4" w:space="0"/>
            </w:tcBorders>
            <w:noWrap/>
            <w:vAlign w:val="center"/>
          </w:tcPr>
          <w:p>
            <w:pPr>
              <w:spacing w:line="240" w:lineRule="auto"/>
              <w:jc w:val="center"/>
              <w:rPr>
                <w:rFonts w:hint="eastAsia" w:ascii="宋体" w:hAnsi="宋体" w:eastAsia="宋体" w:cs="宋体"/>
                <w:color w:val="auto"/>
                <w:sz w:val="21"/>
                <w:szCs w:val="21"/>
                <w:highlight w:val="none"/>
              </w:rPr>
            </w:pPr>
          </w:p>
        </w:tc>
        <w:tc>
          <w:tcPr>
            <w:tcW w:w="1566" w:type="dxa"/>
            <w:vMerge w:val="continue"/>
            <w:tcBorders>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139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250mm*100m</w:t>
            </w:r>
          </w:p>
        </w:tc>
        <w:tc>
          <w:tcPr>
            <w:tcW w:w="56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卷</w:t>
            </w:r>
          </w:p>
        </w:tc>
        <w:tc>
          <w:tcPr>
            <w:tcW w:w="75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230</w:t>
            </w:r>
          </w:p>
        </w:tc>
        <w:tc>
          <w:tcPr>
            <w:tcW w:w="5953" w:type="dxa"/>
            <w:vMerge w:val="continue"/>
            <w:tcBorders>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1"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566"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快速多酶清洗液</w:t>
            </w:r>
          </w:p>
        </w:tc>
        <w:tc>
          <w:tcPr>
            <w:tcW w:w="1392" w:type="dxa"/>
            <w:tcBorders>
              <w:top w:val="single" w:color="auto" w:sz="4" w:space="0"/>
              <w:left w:val="nil"/>
              <w:bottom w:val="single" w:color="auto" w:sz="4" w:space="0"/>
              <w:right w:val="single" w:color="auto" w:sz="4" w:space="0"/>
            </w:tcBorders>
            <w:noWrap/>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1000ml/桶</w:t>
            </w:r>
          </w:p>
        </w:tc>
        <w:tc>
          <w:tcPr>
            <w:tcW w:w="568"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桶</w:t>
            </w:r>
          </w:p>
        </w:tc>
        <w:tc>
          <w:tcPr>
            <w:tcW w:w="75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150</w:t>
            </w:r>
          </w:p>
        </w:tc>
        <w:tc>
          <w:tcPr>
            <w:tcW w:w="5953"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①适用范围：用于去除手术器械及医疗用品上蛋白质与脂类等有机污物。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②中性PH值6.5-7.5，适用于手洗，机洗，超声波清洗，无腐蚀、不含研磨剂、正常使用不得损伤任何金属、塑料、橡胶制品。多种酶复合而成，含蛋白酶、脂肪酶、纤维素酶、淀粉酶，表面活性剂、稳定剂等有效成分。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③液体澄清透明，不分层，无悬浮物或沉淀，无异味，水溶性良好。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④</w:t>
            </w:r>
            <w:r>
              <w:rPr>
                <w:rFonts w:hint="eastAsia" w:ascii="宋体" w:hAnsi="宋体" w:eastAsia="宋体" w:cs="宋体"/>
                <w:b/>
                <w:bCs/>
                <w:color w:val="auto"/>
                <w:sz w:val="21"/>
                <w:szCs w:val="21"/>
                <w:highlight w:val="none"/>
                <w:lang w:val="en-US" w:eastAsia="zh-CN"/>
              </w:rPr>
              <w:t>须在投标文件中</w:t>
            </w:r>
            <w:r>
              <w:rPr>
                <w:rFonts w:hint="eastAsia" w:ascii="宋体" w:hAnsi="宋体" w:eastAsia="宋体" w:cs="宋体"/>
                <w:b/>
                <w:bCs/>
                <w:color w:val="auto"/>
                <w:sz w:val="21"/>
                <w:szCs w:val="21"/>
                <w:highlight w:val="none"/>
              </w:rPr>
              <w:t>提供符合资质要求的第三方检测报告</w:t>
            </w:r>
            <w:r>
              <w:rPr>
                <w:rFonts w:hint="eastAsia" w:ascii="宋体" w:hAnsi="宋体" w:eastAsia="宋体" w:cs="宋体"/>
                <w:b/>
                <w:bCs/>
                <w:color w:val="auto"/>
                <w:sz w:val="21"/>
                <w:szCs w:val="21"/>
                <w:highlight w:val="none"/>
                <w:lang w:val="en-US" w:eastAsia="zh-CN"/>
              </w:rPr>
              <w:t>复印件或影印件或扫描件</w:t>
            </w:r>
            <w:r>
              <w:rPr>
                <w:rFonts w:hint="eastAsia" w:ascii="宋体" w:hAnsi="宋体" w:eastAsia="宋体" w:cs="宋体"/>
                <w:b/>
                <w:bCs/>
                <w:color w:val="auto"/>
                <w:sz w:val="21"/>
                <w:szCs w:val="21"/>
                <w:highlight w:val="none"/>
              </w:rPr>
              <w:t>，</w:t>
            </w:r>
            <w:r>
              <w:rPr>
                <w:rFonts w:hint="eastAsia" w:ascii="宋体" w:hAnsi="宋体" w:eastAsia="宋体" w:cs="宋体"/>
                <w:b w:val="0"/>
                <w:bCs w:val="0"/>
                <w:color w:val="auto"/>
                <w:sz w:val="21"/>
                <w:szCs w:val="21"/>
                <w:highlight w:val="none"/>
              </w:rPr>
              <w:t>产品应符合《医用清洗剂卫生标准》</w:t>
            </w:r>
            <w:r>
              <w:rPr>
                <w:rFonts w:hint="eastAsia" w:ascii="宋体" w:hAnsi="宋体" w:eastAsia="宋体" w:cs="宋体"/>
                <w:i w:val="0"/>
                <w:iCs w:val="0"/>
                <w:color w:val="auto"/>
                <w:kern w:val="0"/>
                <w:sz w:val="21"/>
                <w:szCs w:val="21"/>
                <w:highlight w:val="none"/>
                <w:u w:val="none"/>
                <w:lang w:val="en-US" w:eastAsia="zh-CN" w:bidi="ar"/>
              </w:rPr>
              <w:t>既对于人工模拟污物去除率大于95%，对于蛋白质的去除率大于90%，淀粉去除率大于60%，脂肪的去除率大于50%，对菌血悬液中细菌的去除率大于99%，ATP含量下降率大于99%。</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⑤毒性检测：为保护使用工作人员健康，请提供相关毒理性检测报告。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⑥采用浓缩配方，请标注使用配比比例。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561"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566"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医疗器械中性多酶清洗剂</w:t>
            </w:r>
          </w:p>
        </w:tc>
        <w:tc>
          <w:tcPr>
            <w:tcW w:w="1392" w:type="dxa"/>
            <w:tcBorders>
              <w:top w:val="single" w:color="auto" w:sz="4" w:space="0"/>
              <w:left w:val="nil"/>
              <w:bottom w:val="single" w:color="auto" w:sz="4" w:space="0"/>
              <w:right w:val="single" w:color="auto" w:sz="4" w:space="0"/>
            </w:tcBorders>
            <w:noWrap/>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2500ml/桶</w:t>
            </w:r>
          </w:p>
        </w:tc>
        <w:tc>
          <w:tcPr>
            <w:tcW w:w="568"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桶</w:t>
            </w:r>
          </w:p>
        </w:tc>
        <w:tc>
          <w:tcPr>
            <w:tcW w:w="75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380</w:t>
            </w:r>
          </w:p>
        </w:tc>
        <w:tc>
          <w:tcPr>
            <w:tcW w:w="5953" w:type="dxa"/>
            <w:tcBorders>
              <w:top w:val="single" w:color="auto" w:sz="4" w:space="0"/>
              <w:left w:val="nil"/>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①适用范围：适用于本院全自动清洗消毒器设备使用，用于去除手术器械及医疗用品上蛋白质与脂类等有机污物。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②中性PH值6.5-7.5，适用于手洗，机洗，超声波清洗，无腐蚀、不含研磨剂、正常使用不得损伤任何金属、塑料、橡胶制品。多种酶复合而成，含蛋白酶、脂肪酶、纤维素酶、淀粉酶，表面活性剂、稳定剂等有效成分。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③液体澄清透明，不分层，无悬浮物或沉淀，无异味，水溶性良好。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④</w:t>
            </w:r>
            <w:r>
              <w:rPr>
                <w:rFonts w:hint="eastAsia" w:ascii="宋体" w:hAnsi="宋体" w:eastAsia="宋体" w:cs="宋体"/>
                <w:b/>
                <w:bCs/>
                <w:color w:val="auto"/>
                <w:sz w:val="21"/>
                <w:szCs w:val="21"/>
                <w:highlight w:val="none"/>
                <w:lang w:val="en-US" w:eastAsia="zh-CN"/>
              </w:rPr>
              <w:t>须在投标文件中</w:t>
            </w:r>
            <w:r>
              <w:rPr>
                <w:rFonts w:hint="eastAsia" w:ascii="宋体" w:hAnsi="宋体" w:eastAsia="宋体" w:cs="宋体"/>
                <w:b/>
                <w:bCs/>
                <w:color w:val="auto"/>
                <w:sz w:val="21"/>
                <w:szCs w:val="21"/>
                <w:highlight w:val="none"/>
              </w:rPr>
              <w:t>提供符合资质要求的第三方检测报告</w:t>
            </w:r>
            <w:r>
              <w:rPr>
                <w:rFonts w:hint="eastAsia" w:ascii="宋体" w:hAnsi="宋体" w:eastAsia="宋体" w:cs="宋体"/>
                <w:b/>
                <w:bCs/>
                <w:color w:val="auto"/>
                <w:sz w:val="21"/>
                <w:szCs w:val="21"/>
                <w:highlight w:val="none"/>
                <w:lang w:val="en-US" w:eastAsia="zh-CN"/>
              </w:rPr>
              <w:t>复印件或影印件或扫描件</w:t>
            </w:r>
            <w:r>
              <w:rPr>
                <w:rFonts w:hint="eastAsia" w:ascii="宋体" w:hAnsi="宋体" w:eastAsia="宋体" w:cs="宋体"/>
                <w:i w:val="0"/>
                <w:iCs w:val="0"/>
                <w:color w:val="auto"/>
                <w:kern w:val="0"/>
                <w:sz w:val="21"/>
                <w:szCs w:val="21"/>
                <w:highlight w:val="none"/>
                <w:u w:val="none"/>
                <w:lang w:val="en-US" w:eastAsia="zh-CN" w:bidi="ar"/>
              </w:rPr>
              <w:t>，产品应符合《医用清洗剂卫生标准》既对于人工模拟污物去除率大于95%，对于蛋白质的去除率大于90%，淀粉去除率大于60%，脂肪的去除率大于50%，对菌血悬液中细菌的去除率大于99%，ATP含量下降率大于99%。</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⑤毒性检测：为保护使用工作人员健康，请提供相关毒理性检测报告。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⑥采用浓缩配方，请标注使用配比比例。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61"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566"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医疗器械内镜专用多酶清洗液（强效生物膜去除型）</w:t>
            </w:r>
          </w:p>
        </w:tc>
        <w:tc>
          <w:tcPr>
            <w:tcW w:w="1392"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2500ml/桶</w:t>
            </w:r>
          </w:p>
        </w:tc>
        <w:tc>
          <w:tcPr>
            <w:tcW w:w="568"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桶</w:t>
            </w:r>
          </w:p>
        </w:tc>
        <w:tc>
          <w:tcPr>
            <w:tcW w:w="75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00</w:t>
            </w:r>
          </w:p>
        </w:tc>
        <w:tc>
          <w:tcPr>
            <w:tcW w:w="5953" w:type="dxa"/>
            <w:tcBorders>
              <w:top w:val="single" w:color="auto" w:sz="4" w:space="0"/>
              <w:left w:val="nil"/>
              <w:bottom w:val="single" w:color="auto" w:sz="4" w:space="0"/>
              <w:right w:val="single" w:color="auto" w:sz="4" w:space="0"/>
            </w:tcBorders>
            <w:noWrap w:val="0"/>
            <w:vAlign w:val="center"/>
          </w:tcPr>
          <w:p>
            <w:pPr>
              <w:numPr>
                <w:ilvl w:val="0"/>
                <w:numId w:val="0"/>
              </w:numPr>
              <w:spacing w:line="240" w:lineRule="auto"/>
              <w:jc w:val="left"/>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①</w:t>
            </w:r>
            <w:r>
              <w:rPr>
                <w:rFonts w:hint="eastAsia" w:ascii="宋体" w:hAnsi="宋体" w:eastAsia="宋体" w:cs="宋体"/>
                <w:i w:val="0"/>
                <w:iCs w:val="0"/>
                <w:color w:val="auto"/>
                <w:kern w:val="0"/>
                <w:sz w:val="21"/>
                <w:szCs w:val="21"/>
                <w:highlight w:val="none"/>
                <w:u w:val="none"/>
                <w:lang w:val="en-US" w:eastAsia="zh-CN" w:bidi="ar"/>
              </w:rPr>
              <w:t>用于内镜清洗消毒处理流程中清洗步骤，可有效的去除内镜上残留的蛋白质、唾液等污物，为内镜消毒或灭菌的成功奠定</w:t>
            </w:r>
            <w:r>
              <w:rPr>
                <w:rFonts w:hint="eastAsia" w:ascii="宋体" w:hAnsi="宋体" w:cs="宋体"/>
                <w:i w:val="0"/>
                <w:iCs w:val="0"/>
                <w:color w:val="auto"/>
                <w:kern w:val="0"/>
                <w:sz w:val="21"/>
                <w:szCs w:val="21"/>
                <w:highlight w:val="none"/>
                <w:u w:val="none"/>
                <w:lang w:val="en-US" w:eastAsia="zh-CN" w:bidi="ar"/>
              </w:rPr>
              <w:t>基础</w:t>
            </w:r>
            <w:r>
              <w:rPr>
                <w:rFonts w:hint="eastAsia" w:ascii="宋体" w:hAnsi="宋体" w:eastAsia="宋体" w:cs="宋体"/>
                <w:i w:val="0"/>
                <w:iCs w:val="0"/>
                <w:color w:val="auto"/>
                <w:kern w:val="0"/>
                <w:sz w:val="21"/>
                <w:szCs w:val="21"/>
                <w:highlight w:val="none"/>
                <w:u w:val="none"/>
                <w:lang w:val="en-US" w:eastAsia="zh-CN" w:bidi="ar"/>
              </w:rPr>
              <w:t xml:space="preserve">。                           </w:t>
            </w:r>
          </w:p>
          <w:p>
            <w:pPr>
              <w:numPr>
                <w:ilvl w:val="0"/>
                <w:numId w:val="0"/>
              </w:numPr>
              <w:spacing w:line="240" w:lineRule="auto"/>
              <w:ind w:leftChars="0"/>
              <w:jc w:val="left"/>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②</w:t>
            </w:r>
            <w:r>
              <w:rPr>
                <w:rFonts w:hint="eastAsia" w:ascii="宋体" w:hAnsi="宋体" w:eastAsia="宋体" w:cs="宋体"/>
                <w:i w:val="0"/>
                <w:iCs w:val="0"/>
                <w:color w:val="auto"/>
                <w:kern w:val="0"/>
                <w:sz w:val="21"/>
                <w:szCs w:val="21"/>
                <w:highlight w:val="none"/>
                <w:u w:val="none"/>
                <w:lang w:val="en-US" w:eastAsia="zh-CN" w:bidi="ar"/>
              </w:rPr>
              <w:t xml:space="preserve">含有更多的生物酶和活性物，提高清洗效果，加快清洗速度，去除生物膜。                                             </w:t>
            </w:r>
            <w:r>
              <w:rPr>
                <w:rFonts w:hint="eastAsia" w:ascii="宋体" w:hAnsi="宋体" w:cs="宋体"/>
                <w:i w:val="0"/>
                <w:iCs w:val="0"/>
                <w:color w:val="auto"/>
                <w:kern w:val="0"/>
                <w:sz w:val="21"/>
                <w:szCs w:val="21"/>
                <w:highlight w:val="none"/>
                <w:u w:val="none"/>
                <w:lang w:val="en-US" w:eastAsia="zh-CN" w:bidi="ar"/>
              </w:rPr>
              <w:t>③</w:t>
            </w:r>
            <w:r>
              <w:rPr>
                <w:rFonts w:hint="eastAsia" w:ascii="宋体" w:hAnsi="宋体" w:eastAsia="宋体" w:cs="宋体"/>
                <w:i w:val="0"/>
                <w:iCs w:val="0"/>
                <w:color w:val="auto"/>
                <w:kern w:val="0"/>
                <w:sz w:val="21"/>
                <w:szCs w:val="21"/>
                <w:highlight w:val="none"/>
                <w:u w:val="none"/>
                <w:lang w:val="en-US" w:eastAsia="zh-CN" w:bidi="ar"/>
              </w:rPr>
              <w:t xml:space="preserve">具有优良的浸润性能，对于干涸血污具有良好的乳化分解能力。                                                         </w:t>
            </w:r>
            <w:r>
              <w:rPr>
                <w:rFonts w:hint="eastAsia" w:ascii="宋体" w:hAnsi="宋体" w:cs="宋体"/>
                <w:i w:val="0"/>
                <w:iCs w:val="0"/>
                <w:color w:val="auto"/>
                <w:kern w:val="0"/>
                <w:sz w:val="21"/>
                <w:szCs w:val="21"/>
                <w:highlight w:val="none"/>
                <w:u w:val="none"/>
                <w:lang w:val="en-US" w:eastAsia="zh-CN" w:bidi="ar"/>
              </w:rPr>
              <w:t>④</w:t>
            </w:r>
            <w:r>
              <w:rPr>
                <w:rFonts w:hint="eastAsia" w:ascii="宋体" w:hAnsi="宋体" w:eastAsia="宋体" w:cs="宋体"/>
                <w:i w:val="0"/>
                <w:iCs w:val="0"/>
                <w:color w:val="auto"/>
                <w:kern w:val="0"/>
                <w:sz w:val="21"/>
                <w:szCs w:val="21"/>
                <w:highlight w:val="none"/>
                <w:u w:val="none"/>
                <w:lang w:val="en-US" w:eastAsia="zh-CN" w:bidi="ar"/>
              </w:rPr>
              <w:t xml:space="preserve">低泡易漂洗，无残留。                                                                                           </w:t>
            </w:r>
            <w:r>
              <w:rPr>
                <w:rFonts w:hint="eastAsia" w:ascii="宋体" w:hAnsi="宋体" w:cs="宋体"/>
                <w:i w:val="0"/>
                <w:iCs w:val="0"/>
                <w:color w:val="auto"/>
                <w:kern w:val="0"/>
                <w:sz w:val="21"/>
                <w:szCs w:val="21"/>
                <w:highlight w:val="none"/>
                <w:u w:val="none"/>
                <w:lang w:val="en-US" w:eastAsia="zh-CN" w:bidi="ar"/>
              </w:rPr>
              <w:t>⑤</w:t>
            </w:r>
            <w:r>
              <w:rPr>
                <w:rFonts w:hint="eastAsia" w:ascii="宋体" w:hAnsi="宋体" w:eastAsia="宋体" w:cs="宋体"/>
                <w:i w:val="0"/>
                <w:iCs w:val="0"/>
                <w:color w:val="auto"/>
                <w:kern w:val="0"/>
                <w:sz w:val="21"/>
                <w:szCs w:val="21"/>
                <w:highlight w:val="none"/>
                <w:u w:val="none"/>
                <w:lang w:val="en-US" w:eastAsia="zh-CN" w:bidi="ar"/>
              </w:rPr>
              <w:t xml:space="preserve">中性pH值，对内镜材质无腐蚀性；有效抑制内镜雾化作用。                </w:t>
            </w:r>
          </w:p>
          <w:p>
            <w:pPr>
              <w:numPr>
                <w:ilvl w:val="0"/>
                <w:numId w:val="0"/>
              </w:numPr>
              <w:spacing w:line="240" w:lineRule="auto"/>
              <w:ind w:leftChars="0"/>
              <w:jc w:val="left"/>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⑥</w:t>
            </w:r>
            <w:r>
              <w:rPr>
                <w:rFonts w:hint="eastAsia" w:ascii="宋体" w:hAnsi="宋体" w:eastAsia="宋体" w:cs="宋体"/>
                <w:i w:val="0"/>
                <w:iCs w:val="0"/>
                <w:color w:val="auto"/>
                <w:kern w:val="0"/>
                <w:sz w:val="21"/>
                <w:szCs w:val="21"/>
                <w:highlight w:val="none"/>
                <w:u w:val="none"/>
                <w:lang w:val="en-US" w:eastAsia="zh-CN" w:bidi="ar"/>
              </w:rPr>
              <w:t>适用于本院设备。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61"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566"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新一代医疗器械润滑防锈剂</w:t>
            </w:r>
          </w:p>
        </w:tc>
        <w:tc>
          <w:tcPr>
            <w:tcW w:w="1392"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2500ml/桶</w:t>
            </w:r>
          </w:p>
        </w:tc>
        <w:tc>
          <w:tcPr>
            <w:tcW w:w="568"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桶</w:t>
            </w:r>
          </w:p>
        </w:tc>
        <w:tc>
          <w:tcPr>
            <w:tcW w:w="75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410</w:t>
            </w:r>
          </w:p>
        </w:tc>
        <w:tc>
          <w:tcPr>
            <w:tcW w:w="5953"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①适用范围：适用于本院全自动清洗消毒器设备使用，用于金属器械，物品的手工及机洗器械润滑、保养、防锈。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②具有润滑、防锈、抑菌三种功能，可延长器械使用寿命，优良的水溶性，对饱和蒸汽及其他灭菌介质的穿透无影响，卓越的润滑性能，使器械关节更加灵活。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③低泡、无毒性、不挂壁、无残留、长时间存放无分层现象,手工/机械润滑均可。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④采用浓缩配方，请标注使用配比比例。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⑤</w:t>
            </w:r>
            <w:r>
              <w:rPr>
                <w:rFonts w:hint="eastAsia" w:ascii="宋体" w:hAnsi="宋体" w:eastAsia="宋体" w:cs="宋体"/>
                <w:b/>
                <w:bCs/>
                <w:color w:val="auto"/>
                <w:sz w:val="21"/>
                <w:szCs w:val="21"/>
                <w:highlight w:val="none"/>
                <w:lang w:val="en-US" w:eastAsia="zh-CN"/>
              </w:rPr>
              <w:t>须在投标文件中</w:t>
            </w:r>
            <w:r>
              <w:rPr>
                <w:rFonts w:hint="eastAsia" w:ascii="宋体" w:hAnsi="宋体" w:eastAsia="宋体" w:cs="宋体"/>
                <w:b/>
                <w:bCs/>
                <w:color w:val="auto"/>
                <w:sz w:val="21"/>
                <w:szCs w:val="21"/>
                <w:highlight w:val="none"/>
              </w:rPr>
              <w:t>提供符合资质要求的第三方检测报告</w:t>
            </w:r>
            <w:r>
              <w:rPr>
                <w:rFonts w:hint="eastAsia" w:ascii="宋体" w:hAnsi="宋体" w:eastAsia="宋体" w:cs="宋体"/>
                <w:b/>
                <w:bCs/>
                <w:color w:val="auto"/>
                <w:sz w:val="21"/>
                <w:szCs w:val="21"/>
                <w:highlight w:val="none"/>
                <w:lang w:val="en-US" w:eastAsia="zh-CN"/>
              </w:rPr>
              <w:t>复印件或影印件或扫描件</w:t>
            </w:r>
            <w:r>
              <w:rPr>
                <w:rFonts w:hint="eastAsia" w:ascii="宋体" w:hAnsi="宋体" w:eastAsia="宋体" w:cs="宋体"/>
                <w:i w:val="0"/>
                <w:iCs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561"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566"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BD测试包</w:t>
            </w:r>
          </w:p>
        </w:tc>
        <w:tc>
          <w:tcPr>
            <w:tcW w:w="1392"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40个/盒</w:t>
            </w:r>
          </w:p>
        </w:tc>
        <w:tc>
          <w:tcPr>
            <w:tcW w:w="568"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盒</w:t>
            </w:r>
          </w:p>
        </w:tc>
        <w:tc>
          <w:tcPr>
            <w:tcW w:w="75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w:t>
            </w:r>
          </w:p>
        </w:tc>
        <w:tc>
          <w:tcPr>
            <w:tcW w:w="5953"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①适用范围:配套适用于本院脉动真空灭菌器灭菌空气排除效果的检测，可用于日常监测，灭菌器安装调试后效果的测定，灭菌器维修后性能的测定。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②测试包通过ISO9001和ISO13485认证，包内无海绵垫层。由一定透气性能的纸与热敏染料印刷而成，当空气完全排出时，温度达到132℃-134℃，维持3.5-4min，符合《消毒技术规范》要求。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1"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566"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化学测试包</w:t>
            </w:r>
          </w:p>
        </w:tc>
        <w:tc>
          <w:tcPr>
            <w:tcW w:w="1392"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30个/盒</w:t>
            </w:r>
          </w:p>
        </w:tc>
        <w:tc>
          <w:tcPr>
            <w:tcW w:w="568"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盒</w:t>
            </w:r>
          </w:p>
        </w:tc>
        <w:tc>
          <w:tcPr>
            <w:tcW w:w="75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5953" w:type="dxa"/>
            <w:tcBorders>
              <w:top w:val="single" w:color="auto" w:sz="4" w:space="0"/>
              <w:left w:val="nil"/>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① 适用范围：配套适用于脉动真空灭菌器灭菌效果监测，适用作为提前批量放行依据。                                                            ②测试包通过ISO9001和ISO13485认证，包内无海绵垫层。包内爬行卡由金属载片、指示药片、显色指示条、透气薄膜和阅读标签组成，通过黑色溶解物爬行的距离来确定主要参数（温度、时间、蒸汽饱和度）是否达到要求。                ③ 符合GB18282.1中对五类指示的设计要求，</w:t>
            </w:r>
            <w:r>
              <w:rPr>
                <w:rFonts w:hint="eastAsia" w:ascii="宋体" w:hAnsi="宋体" w:eastAsia="宋体" w:cs="宋体"/>
                <w:b/>
                <w:bCs/>
                <w:color w:val="auto"/>
                <w:sz w:val="21"/>
                <w:szCs w:val="21"/>
                <w:highlight w:val="none"/>
                <w:lang w:val="en-US" w:eastAsia="zh-CN"/>
              </w:rPr>
              <w:t>须在投标文件中</w:t>
            </w:r>
            <w:r>
              <w:rPr>
                <w:rFonts w:hint="eastAsia" w:ascii="宋体" w:hAnsi="宋体" w:eastAsia="宋体" w:cs="宋体"/>
                <w:b/>
                <w:bCs/>
                <w:color w:val="auto"/>
                <w:sz w:val="21"/>
                <w:szCs w:val="21"/>
                <w:highlight w:val="none"/>
              </w:rPr>
              <w:t>提供符合资质要求的第三方检测报告</w:t>
            </w:r>
            <w:r>
              <w:rPr>
                <w:rFonts w:hint="eastAsia" w:ascii="宋体" w:hAnsi="宋体" w:eastAsia="宋体" w:cs="宋体"/>
                <w:b/>
                <w:bCs/>
                <w:color w:val="auto"/>
                <w:sz w:val="21"/>
                <w:szCs w:val="21"/>
                <w:highlight w:val="none"/>
                <w:lang w:val="en-US" w:eastAsia="zh-CN"/>
              </w:rPr>
              <w:t>复印件或影印件或扫描件。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61"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566"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压力蒸汽灭菌极速生物挑战包(1小时)</w:t>
            </w:r>
          </w:p>
        </w:tc>
        <w:tc>
          <w:tcPr>
            <w:tcW w:w="1392"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15个/箱</w:t>
            </w:r>
          </w:p>
        </w:tc>
        <w:tc>
          <w:tcPr>
            <w:tcW w:w="568"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75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lang w:val="en-US" w:eastAsia="zh-CN"/>
              </w:rPr>
              <w:t>5</w:t>
            </w:r>
          </w:p>
        </w:tc>
        <w:tc>
          <w:tcPr>
            <w:tcW w:w="5953"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① 适用范围：配套适用于脉动真空灭菌器灭菌效果监测，适用于1小时生物培养。</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② 采用嗜热脂肪杆菌芽孢监测，符合GB/T18281-1.3。ISO11138-1.3要求，通过荧光监测来判断压力蒸汽灭菌是否合格，生物指示剂与本院极速生物阅读器配套使用，</w:t>
            </w:r>
            <w:r>
              <w:rPr>
                <w:rFonts w:hint="eastAsia" w:ascii="宋体" w:hAnsi="宋体" w:eastAsia="宋体" w:cs="宋体"/>
                <w:b/>
                <w:bCs/>
                <w:color w:val="auto"/>
                <w:sz w:val="21"/>
                <w:szCs w:val="21"/>
                <w:highlight w:val="none"/>
                <w:lang w:val="en-US" w:eastAsia="zh-CN"/>
              </w:rPr>
              <w:t>提供产品有效的安全评价报告</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③ 生物指示剂自含式设计，避免二次污染，生物指示剂外表面标签处含相关化学指示物以区分。</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④一个包另配置一支生物指示剂做阳性对照。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1"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566" w:type="dxa"/>
            <w:tcBorders>
              <w:top w:val="single" w:color="auto" w:sz="4" w:space="0"/>
              <w:left w:val="nil"/>
              <w:bottom w:val="single" w:color="auto" w:sz="4" w:space="0"/>
              <w:right w:val="single" w:color="auto" w:sz="4" w:space="0"/>
            </w:tcBorders>
            <w:noWrap/>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压力蒸汽灭菌标准生物测试包(慢速)</w:t>
            </w:r>
          </w:p>
        </w:tc>
        <w:tc>
          <w:tcPr>
            <w:tcW w:w="1392" w:type="dxa"/>
            <w:tcBorders>
              <w:top w:val="single" w:color="auto" w:sz="4" w:space="0"/>
              <w:left w:val="nil"/>
              <w:bottom w:val="single" w:color="auto" w:sz="4" w:space="0"/>
              <w:right w:val="single" w:color="auto" w:sz="4" w:space="0"/>
            </w:tcBorders>
            <w:noWrap/>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15个/箱</w:t>
            </w:r>
          </w:p>
        </w:tc>
        <w:tc>
          <w:tcPr>
            <w:tcW w:w="568"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75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43</w:t>
            </w:r>
          </w:p>
        </w:tc>
        <w:tc>
          <w:tcPr>
            <w:tcW w:w="5953"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① 适用范围：配套适用于脉动真空灭菌器灭菌效果监测。</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② 采用嗜热脂肪杆菌芽孢监测，通过菌落生长培养基颜色变化来判断压力蒸汽灭菌是否合格，</w:t>
            </w:r>
            <w:r>
              <w:rPr>
                <w:rFonts w:hint="eastAsia" w:ascii="宋体" w:hAnsi="宋体" w:eastAsia="宋体" w:cs="宋体"/>
                <w:b/>
                <w:bCs/>
                <w:color w:val="auto"/>
                <w:sz w:val="21"/>
                <w:szCs w:val="21"/>
                <w:highlight w:val="none"/>
                <w:lang w:val="en-US" w:eastAsia="zh-CN"/>
              </w:rPr>
              <w:t>提供产品有效的安全评价报告</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③ 生物指示剂自含式设计，避免二次污染，生物指示剂外表面标签处含相关化学指示物以区分。</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④一个包另配置一支生物指示剂做阳性对照。</w:t>
            </w:r>
            <w:r>
              <w:rPr>
                <w:rFonts w:hint="eastAsia" w:ascii="宋体" w:hAnsi="宋体" w:eastAsia="宋体" w:cs="宋体"/>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1"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566" w:type="dxa"/>
            <w:tcBorders>
              <w:top w:val="single" w:color="auto" w:sz="4" w:space="0"/>
              <w:left w:val="nil"/>
              <w:bottom w:val="single" w:color="auto" w:sz="4" w:space="0"/>
              <w:right w:val="single" w:color="auto" w:sz="4" w:space="0"/>
            </w:tcBorders>
            <w:noWrap/>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离子交换树脂再生剂</w:t>
            </w:r>
          </w:p>
        </w:tc>
        <w:tc>
          <w:tcPr>
            <w:tcW w:w="1392" w:type="dxa"/>
            <w:tcBorders>
              <w:top w:val="single" w:color="auto" w:sz="4" w:space="0"/>
              <w:left w:val="nil"/>
              <w:bottom w:val="single" w:color="auto" w:sz="4" w:space="0"/>
              <w:right w:val="single" w:color="auto" w:sz="4" w:space="0"/>
            </w:tcBorders>
            <w:noWrap/>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5k</w:t>
            </w:r>
            <w:r>
              <w:rPr>
                <w:rFonts w:hint="eastAsia" w:ascii="宋体" w:hAnsi="宋体" w:eastAsia="宋体" w:cs="宋体"/>
                <w:color w:val="auto"/>
                <w:sz w:val="21"/>
                <w:szCs w:val="21"/>
                <w:highlight w:val="none"/>
              </w:rPr>
              <w:t>g</w:t>
            </w:r>
          </w:p>
        </w:tc>
        <w:tc>
          <w:tcPr>
            <w:tcW w:w="568"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75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w:t>
            </w:r>
          </w:p>
        </w:tc>
        <w:tc>
          <w:tcPr>
            <w:tcW w:w="5953"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561"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566" w:type="dxa"/>
            <w:tcBorders>
              <w:top w:val="single" w:color="auto" w:sz="4" w:space="0"/>
              <w:left w:val="nil"/>
              <w:bottom w:val="single" w:color="auto" w:sz="4" w:space="0"/>
              <w:right w:val="single" w:color="auto" w:sz="4" w:space="0"/>
            </w:tcBorders>
            <w:noWrap/>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过氧化氢低温等离子体灭菌过程指示卡</w:t>
            </w:r>
          </w:p>
        </w:tc>
        <w:tc>
          <w:tcPr>
            <w:tcW w:w="1392" w:type="dxa"/>
            <w:tcBorders>
              <w:top w:val="single" w:color="auto" w:sz="4" w:space="0"/>
              <w:left w:val="nil"/>
              <w:bottom w:val="single" w:color="auto" w:sz="4" w:space="0"/>
              <w:right w:val="single" w:color="auto" w:sz="4" w:space="0"/>
            </w:tcBorders>
            <w:noWrap/>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IB0503 200片/瓶</w:t>
            </w:r>
          </w:p>
        </w:tc>
        <w:tc>
          <w:tcPr>
            <w:tcW w:w="568"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瓶</w:t>
            </w:r>
          </w:p>
        </w:tc>
        <w:tc>
          <w:tcPr>
            <w:tcW w:w="75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180</w:t>
            </w:r>
          </w:p>
        </w:tc>
        <w:tc>
          <w:tcPr>
            <w:tcW w:w="5953"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①适用范围：配套适用于过氧化氢低温等离子体灭菌器灭菌过程的包内指示。</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②指示卡所用指示油墨的变色反应受过氧化氢浓度，温度和时间等条件的影响，在过氧化氢低温等离子体灭菌过程中会产生明显的颜色变化；依据颜色变化的情况，区别物品是否经过灭菌。</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③应满足ISO 11140-1:2014的要求，为过氧化氢第四类化学指示物，</w:t>
            </w:r>
            <w:r>
              <w:rPr>
                <w:rFonts w:hint="eastAsia" w:ascii="宋体" w:hAnsi="宋体" w:eastAsia="宋体" w:cs="宋体"/>
                <w:b/>
                <w:bCs/>
                <w:color w:val="auto"/>
                <w:sz w:val="21"/>
                <w:szCs w:val="21"/>
                <w:highlight w:val="none"/>
                <w:lang w:val="en-US" w:eastAsia="zh-CN"/>
              </w:rPr>
              <w:t>须在投标文件中</w:t>
            </w:r>
            <w:r>
              <w:rPr>
                <w:rFonts w:hint="eastAsia" w:ascii="宋体" w:hAnsi="宋体" w:eastAsia="宋体" w:cs="宋体"/>
                <w:b/>
                <w:bCs/>
                <w:color w:val="auto"/>
                <w:sz w:val="21"/>
                <w:szCs w:val="21"/>
                <w:highlight w:val="none"/>
              </w:rPr>
              <w:t>提供由CMA中国计量单位认证的第三方检测机构提供的产品检测报告</w:t>
            </w:r>
            <w:r>
              <w:rPr>
                <w:rFonts w:hint="eastAsia" w:ascii="宋体" w:hAnsi="宋体" w:eastAsia="宋体" w:cs="宋体"/>
                <w:b/>
                <w:bCs/>
                <w:color w:val="auto"/>
                <w:sz w:val="21"/>
                <w:szCs w:val="21"/>
                <w:highlight w:val="none"/>
                <w:lang w:val="en-US" w:eastAsia="zh-CN"/>
              </w:rPr>
              <w:t>复印件或影印件或扫描件</w:t>
            </w:r>
            <w:r>
              <w:rPr>
                <w:rFonts w:hint="eastAsia" w:ascii="宋体" w:hAnsi="宋体" w:eastAsia="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561"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566" w:type="dxa"/>
            <w:tcBorders>
              <w:top w:val="single" w:color="auto" w:sz="4" w:space="0"/>
              <w:left w:val="nil"/>
              <w:bottom w:val="single" w:color="auto" w:sz="4" w:space="0"/>
              <w:right w:val="single" w:color="auto" w:sz="4" w:space="0"/>
            </w:tcBorders>
            <w:noWrap/>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过氧化氢低温等离子体灭菌过程指示标签</w:t>
            </w:r>
          </w:p>
        </w:tc>
        <w:tc>
          <w:tcPr>
            <w:tcW w:w="1392" w:type="dxa"/>
            <w:tcBorders>
              <w:top w:val="single" w:color="auto" w:sz="4" w:space="0"/>
              <w:left w:val="nil"/>
              <w:bottom w:val="single" w:color="auto" w:sz="4" w:space="0"/>
              <w:right w:val="single" w:color="auto" w:sz="4" w:space="0"/>
            </w:tcBorders>
            <w:noWrap/>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 900片/袋LR25601</w:t>
            </w:r>
          </w:p>
        </w:tc>
        <w:tc>
          <w:tcPr>
            <w:tcW w:w="568"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片</w:t>
            </w:r>
          </w:p>
        </w:tc>
        <w:tc>
          <w:tcPr>
            <w:tcW w:w="75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w:t>
            </w:r>
          </w:p>
        </w:tc>
        <w:tc>
          <w:tcPr>
            <w:tcW w:w="5953"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①适用范围：配套适用于过氧化氢低温等离子体灭菌器灭菌过程的包外指示。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②标签由载体和涂覆在上面的指示油墨组成，平面标签设计，含有物品名称、检查打包者姓名或代号、灭菌器编号，批次号、灭菌日期等项基本信息。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③指示油墨的变色反应受过氧化氢浓度，温度和时间等条件的影响，在过氧化氢低温等离子体灭菌过程中会产生明显的颜色变化；依据颜色变化的情况，区别物品是否经过灭菌。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b/>
                <w:bCs/>
                <w:color w:val="auto"/>
                <w:sz w:val="21"/>
                <w:szCs w:val="21"/>
                <w:highlight w:val="none"/>
                <w:lang w:val="en-US" w:eastAsia="zh-CN"/>
              </w:rPr>
              <w:t>④须在投标文件中</w:t>
            </w:r>
            <w:r>
              <w:rPr>
                <w:rFonts w:hint="eastAsia" w:ascii="宋体" w:hAnsi="宋体" w:eastAsia="宋体" w:cs="宋体"/>
                <w:b/>
                <w:bCs/>
                <w:color w:val="auto"/>
                <w:sz w:val="21"/>
                <w:szCs w:val="21"/>
                <w:highlight w:val="none"/>
              </w:rPr>
              <w:t>提供由CMA中国计量单位认证的第三方检测机构提供的产品检测报告</w:t>
            </w:r>
            <w:r>
              <w:rPr>
                <w:rFonts w:hint="eastAsia" w:ascii="宋体" w:hAnsi="宋体" w:eastAsia="宋体" w:cs="宋体"/>
                <w:b/>
                <w:bCs/>
                <w:color w:val="auto"/>
                <w:sz w:val="21"/>
                <w:szCs w:val="21"/>
                <w:highlight w:val="none"/>
                <w:lang w:val="en-US" w:eastAsia="zh-CN"/>
              </w:rPr>
              <w:t>复印件或影印件或扫描件</w:t>
            </w:r>
            <w:r>
              <w:rPr>
                <w:rFonts w:hint="eastAsia" w:ascii="宋体" w:hAnsi="宋体" w:eastAsia="宋体" w:cs="宋体"/>
                <w:b/>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561"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566" w:type="dxa"/>
            <w:tcBorders>
              <w:top w:val="single" w:color="auto" w:sz="4" w:space="0"/>
              <w:left w:val="nil"/>
              <w:bottom w:val="single" w:color="auto" w:sz="4" w:space="0"/>
              <w:right w:val="single" w:color="auto" w:sz="4" w:space="0"/>
            </w:tcBorders>
            <w:noWrap/>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过氧化氢低温等离子体灭菌过程指示胶带</w:t>
            </w:r>
          </w:p>
        </w:tc>
        <w:tc>
          <w:tcPr>
            <w:tcW w:w="1392" w:type="dxa"/>
            <w:tcBorders>
              <w:top w:val="single" w:color="auto" w:sz="4" w:space="0"/>
              <w:left w:val="nil"/>
              <w:bottom w:val="single" w:color="auto" w:sz="4" w:space="0"/>
              <w:right w:val="single" w:color="auto" w:sz="4" w:space="0"/>
            </w:tcBorders>
            <w:noWrap/>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20mm*35m（TB20351）/卷</w:t>
            </w:r>
          </w:p>
        </w:tc>
        <w:tc>
          <w:tcPr>
            <w:tcW w:w="568"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卷</w:t>
            </w:r>
          </w:p>
        </w:tc>
        <w:tc>
          <w:tcPr>
            <w:tcW w:w="75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105</w:t>
            </w:r>
          </w:p>
        </w:tc>
        <w:tc>
          <w:tcPr>
            <w:tcW w:w="5953"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①适用范围：配套适用于过氧化氢低温等离子体灭菌器，胶粘带形式，用于过氧化氢低温等离子体灭菌灭菌包的封包及灭菌过程指示。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②选用国内外优质特殊纸，强度高，具有一定伸缩性，防粘效果好，可自由裁切长短。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③胶粘带表面印有过氧化氢低温等离子化学试剂，灭菌合格变色清晰明显。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61"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566" w:type="dxa"/>
            <w:tcBorders>
              <w:top w:val="single" w:color="auto" w:sz="4" w:space="0"/>
              <w:left w:val="nil"/>
              <w:bottom w:val="single" w:color="auto" w:sz="4" w:space="0"/>
              <w:right w:val="single" w:color="auto" w:sz="4" w:space="0"/>
            </w:tcBorders>
            <w:noWrap/>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过氧化氢低温等离子体灭菌器100过氧化氢卡匣</w:t>
            </w:r>
          </w:p>
        </w:tc>
        <w:tc>
          <w:tcPr>
            <w:tcW w:w="1392" w:type="dxa"/>
            <w:tcBorders>
              <w:top w:val="single" w:color="auto" w:sz="4" w:space="0"/>
              <w:left w:val="nil"/>
              <w:bottom w:val="single" w:color="auto" w:sz="4" w:space="0"/>
              <w:right w:val="single" w:color="auto" w:sz="4" w:space="0"/>
            </w:tcBorders>
            <w:noWrap/>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5套/盒</w:t>
            </w:r>
          </w:p>
        </w:tc>
        <w:tc>
          <w:tcPr>
            <w:tcW w:w="568"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5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200</w:t>
            </w:r>
          </w:p>
        </w:tc>
        <w:tc>
          <w:tcPr>
            <w:tcW w:w="5953"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①适用范围：配套适用于过氧化氢低温等离子体灭菌器，用以进行过氧化氢低温等离子的灭菌使用。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②采用卡匣内胆灌装方式，过氧化氢有效含量为56%-63%，内置芯片，确保完整信息录入和动态使用安全。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b/>
                <w:bCs/>
                <w:color w:val="auto"/>
                <w:sz w:val="21"/>
                <w:szCs w:val="21"/>
                <w:highlight w:val="none"/>
                <w:lang w:val="en-US" w:eastAsia="zh-CN"/>
              </w:rPr>
              <w:t>③须在投标文件中</w:t>
            </w:r>
            <w:r>
              <w:rPr>
                <w:rFonts w:hint="eastAsia" w:ascii="宋体" w:hAnsi="宋体" w:eastAsia="宋体" w:cs="宋体"/>
                <w:b/>
                <w:bCs/>
                <w:color w:val="auto"/>
                <w:sz w:val="21"/>
                <w:szCs w:val="21"/>
                <w:highlight w:val="none"/>
              </w:rPr>
              <w:t>提供由CMA中国计量单位认证的第三方检测机构提供的产品检测报告</w:t>
            </w:r>
            <w:r>
              <w:rPr>
                <w:rFonts w:hint="eastAsia" w:ascii="宋体" w:hAnsi="宋体" w:eastAsia="宋体" w:cs="宋体"/>
                <w:b/>
                <w:bCs/>
                <w:color w:val="auto"/>
                <w:sz w:val="21"/>
                <w:szCs w:val="21"/>
                <w:highlight w:val="none"/>
                <w:lang w:val="en-US" w:eastAsia="zh-CN"/>
              </w:rPr>
              <w:t>复印件或影印件或扫描件</w:t>
            </w:r>
            <w:r>
              <w:rPr>
                <w:rFonts w:hint="eastAsia" w:ascii="宋体" w:hAnsi="宋体" w:eastAsia="宋体" w:cs="宋体"/>
                <w:b/>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61" w:type="dxa"/>
            <w:vMerge w:val="restart"/>
            <w:tcBorders>
              <w:top w:val="nil"/>
              <w:left w:val="single" w:color="auto" w:sz="4" w:space="0"/>
              <w:bottom w:val="single" w:color="auto" w:sz="4" w:space="0"/>
              <w:right w:val="single" w:color="auto" w:sz="4" w:space="0"/>
            </w:tcBorders>
            <w:noWrap/>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566" w:type="dxa"/>
            <w:vMerge w:val="restart"/>
            <w:tcBorders>
              <w:top w:val="nil"/>
              <w:left w:val="nil"/>
              <w:bottom w:val="single" w:color="auto" w:sz="4" w:space="0"/>
              <w:right w:val="single" w:color="auto" w:sz="4" w:space="0"/>
            </w:tcBorders>
            <w:noWrap/>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过氧化氢低温等离子体灭菌包装袋</w:t>
            </w:r>
          </w:p>
        </w:tc>
        <w:tc>
          <w:tcPr>
            <w:tcW w:w="139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 100mm*100m平面/卷</w:t>
            </w:r>
          </w:p>
        </w:tc>
        <w:tc>
          <w:tcPr>
            <w:tcW w:w="568"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卷</w:t>
            </w:r>
          </w:p>
        </w:tc>
        <w:tc>
          <w:tcPr>
            <w:tcW w:w="75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450</w:t>
            </w:r>
          </w:p>
        </w:tc>
        <w:tc>
          <w:tcPr>
            <w:tcW w:w="5953" w:type="dxa"/>
            <w:vMerge w:val="restart"/>
            <w:tcBorders>
              <w:top w:val="nil"/>
              <w:left w:val="nil"/>
              <w:bottom w:val="single" w:color="auto" w:sz="4" w:space="0"/>
              <w:right w:val="single" w:color="auto" w:sz="4" w:space="0"/>
            </w:tcBorders>
            <w:noWrap w:val="0"/>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①适用于本院过氧化氢低温等离子体灭菌器的医疗器械包装。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②选用Tyvek材料，具有良好抗氧化性，对灭菌介质无影响。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③由Tyvek合成纸和低温膜热合组成，采用Tyvek与复合膜烫合，即具有良好的透气型易于彻底灭菌，又有良好的韧性和强度，能够耐高强度穿刺。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④印刷有过氧化氢低温等离子体灭菌化学指示物，能够直接显示灭菌情况。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⑤可根据灭菌物品的大小，对包装袋长度任意截取便于使用。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⑥具有良好的阻菌性，延长灭菌后医疗器具的无菌存放时间。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⑦</w:t>
            </w:r>
            <w:r>
              <w:rPr>
                <w:rFonts w:hint="eastAsia" w:ascii="宋体" w:hAnsi="宋体" w:eastAsia="宋体" w:cs="宋体"/>
                <w:b/>
                <w:bCs/>
                <w:color w:val="auto"/>
                <w:sz w:val="21"/>
                <w:szCs w:val="21"/>
                <w:highlight w:val="none"/>
                <w:lang w:val="en-US" w:eastAsia="zh-CN"/>
              </w:rPr>
              <w:t>须在投标文件中</w:t>
            </w:r>
            <w:r>
              <w:rPr>
                <w:rFonts w:hint="eastAsia" w:ascii="宋体" w:hAnsi="宋体" w:eastAsia="宋体" w:cs="宋体"/>
                <w:b/>
                <w:bCs/>
                <w:color w:val="auto"/>
                <w:sz w:val="21"/>
                <w:szCs w:val="21"/>
                <w:highlight w:val="none"/>
              </w:rPr>
              <w:t>提供由CMA中国计量单位认证的第三方检测机构提供的产品检测报告</w:t>
            </w:r>
            <w:r>
              <w:rPr>
                <w:rFonts w:hint="eastAsia" w:ascii="宋体" w:hAnsi="宋体" w:eastAsia="宋体" w:cs="宋体"/>
                <w:b/>
                <w:bCs/>
                <w:color w:val="auto"/>
                <w:sz w:val="21"/>
                <w:szCs w:val="21"/>
                <w:highlight w:val="none"/>
                <w:lang w:val="en-US" w:eastAsia="zh-CN"/>
              </w:rPr>
              <w:t>复印件或影印件或扫描件</w:t>
            </w:r>
            <w:r>
              <w:rPr>
                <w:rFonts w:hint="eastAsia" w:ascii="宋体" w:hAnsi="宋体" w:eastAsia="宋体" w:cs="宋体"/>
                <w:b/>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jc w:val="center"/>
        </w:trPr>
        <w:tc>
          <w:tcPr>
            <w:tcW w:w="561" w:type="dxa"/>
            <w:vMerge w:val="continue"/>
            <w:tcBorders>
              <w:top w:val="nil"/>
              <w:left w:val="single" w:color="auto" w:sz="4" w:space="0"/>
              <w:bottom w:val="single" w:color="auto" w:sz="4" w:space="0"/>
              <w:right w:val="single" w:color="auto" w:sz="4" w:space="0"/>
            </w:tcBorders>
            <w:noWrap w:val="0"/>
            <w:vAlign w:val="center"/>
          </w:tcPr>
          <w:p>
            <w:pPr>
              <w:spacing w:line="240" w:lineRule="auto"/>
              <w:rPr>
                <w:rFonts w:hint="eastAsia" w:ascii="宋体" w:hAnsi="宋体" w:eastAsia="宋体" w:cs="宋体"/>
                <w:color w:val="auto"/>
                <w:sz w:val="21"/>
                <w:szCs w:val="21"/>
                <w:highlight w:val="none"/>
              </w:rPr>
            </w:pPr>
          </w:p>
        </w:tc>
        <w:tc>
          <w:tcPr>
            <w:tcW w:w="1566" w:type="dxa"/>
            <w:vMerge w:val="continue"/>
            <w:tcBorders>
              <w:top w:val="nil"/>
              <w:left w:val="nil"/>
              <w:bottom w:val="single" w:color="auto" w:sz="4" w:space="0"/>
              <w:right w:val="single" w:color="auto" w:sz="4" w:space="0"/>
            </w:tcBorders>
            <w:noWrap w:val="0"/>
            <w:vAlign w:val="center"/>
          </w:tcPr>
          <w:p>
            <w:pPr>
              <w:spacing w:line="240" w:lineRule="auto"/>
              <w:rPr>
                <w:rFonts w:hint="eastAsia" w:ascii="宋体" w:hAnsi="宋体" w:eastAsia="宋体" w:cs="宋体"/>
                <w:color w:val="auto"/>
                <w:sz w:val="21"/>
                <w:szCs w:val="21"/>
                <w:highlight w:val="none"/>
              </w:rPr>
            </w:pPr>
          </w:p>
        </w:tc>
        <w:tc>
          <w:tcPr>
            <w:tcW w:w="139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400mm*100m平面/卷</w:t>
            </w:r>
          </w:p>
        </w:tc>
        <w:tc>
          <w:tcPr>
            <w:tcW w:w="568"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卷</w:t>
            </w:r>
          </w:p>
        </w:tc>
        <w:tc>
          <w:tcPr>
            <w:tcW w:w="75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1900</w:t>
            </w:r>
          </w:p>
        </w:tc>
        <w:tc>
          <w:tcPr>
            <w:tcW w:w="5953" w:type="dxa"/>
            <w:vMerge w:val="continue"/>
            <w:tcBorders>
              <w:top w:val="nil"/>
              <w:left w:val="nil"/>
              <w:bottom w:val="single" w:color="auto" w:sz="4" w:space="0"/>
              <w:right w:val="single" w:color="auto" w:sz="4" w:space="0"/>
            </w:tcBorders>
            <w:noWrap w:val="0"/>
            <w:vAlign w:val="center"/>
          </w:tcPr>
          <w:p>
            <w:pPr>
              <w:spacing w:line="24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561" w:type="dxa"/>
            <w:vMerge w:val="continue"/>
            <w:tcBorders>
              <w:top w:val="nil"/>
              <w:left w:val="single" w:color="auto" w:sz="4" w:space="0"/>
              <w:bottom w:val="single" w:color="auto" w:sz="4" w:space="0"/>
              <w:right w:val="single" w:color="auto" w:sz="4" w:space="0"/>
            </w:tcBorders>
            <w:noWrap w:val="0"/>
            <w:vAlign w:val="center"/>
          </w:tcPr>
          <w:p>
            <w:pPr>
              <w:spacing w:line="240" w:lineRule="auto"/>
              <w:rPr>
                <w:rFonts w:hint="eastAsia" w:ascii="宋体" w:hAnsi="宋体" w:eastAsia="宋体" w:cs="宋体"/>
                <w:color w:val="auto"/>
                <w:sz w:val="21"/>
                <w:szCs w:val="21"/>
                <w:highlight w:val="none"/>
              </w:rPr>
            </w:pPr>
          </w:p>
        </w:tc>
        <w:tc>
          <w:tcPr>
            <w:tcW w:w="1566" w:type="dxa"/>
            <w:vMerge w:val="continue"/>
            <w:tcBorders>
              <w:top w:val="nil"/>
              <w:left w:val="nil"/>
              <w:bottom w:val="single" w:color="auto" w:sz="4" w:space="0"/>
              <w:right w:val="single" w:color="auto" w:sz="4" w:space="0"/>
            </w:tcBorders>
            <w:noWrap w:val="0"/>
            <w:vAlign w:val="center"/>
          </w:tcPr>
          <w:p>
            <w:pPr>
              <w:spacing w:line="240" w:lineRule="auto"/>
              <w:rPr>
                <w:rFonts w:hint="eastAsia" w:ascii="宋体" w:hAnsi="宋体" w:eastAsia="宋体" w:cs="宋体"/>
                <w:color w:val="auto"/>
                <w:sz w:val="21"/>
                <w:szCs w:val="21"/>
                <w:highlight w:val="none"/>
              </w:rPr>
            </w:pPr>
          </w:p>
        </w:tc>
        <w:tc>
          <w:tcPr>
            <w:tcW w:w="139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150mm*100m（定制）平面/卷</w:t>
            </w:r>
          </w:p>
        </w:tc>
        <w:tc>
          <w:tcPr>
            <w:tcW w:w="568"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卷</w:t>
            </w:r>
          </w:p>
        </w:tc>
        <w:tc>
          <w:tcPr>
            <w:tcW w:w="75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610</w:t>
            </w:r>
          </w:p>
        </w:tc>
        <w:tc>
          <w:tcPr>
            <w:tcW w:w="5953" w:type="dxa"/>
            <w:vMerge w:val="continue"/>
            <w:tcBorders>
              <w:top w:val="nil"/>
              <w:left w:val="nil"/>
              <w:bottom w:val="single" w:color="auto" w:sz="4" w:space="0"/>
              <w:right w:val="single" w:color="auto" w:sz="4" w:space="0"/>
            </w:tcBorders>
            <w:noWrap w:val="0"/>
            <w:vAlign w:val="center"/>
          </w:tcPr>
          <w:p>
            <w:pPr>
              <w:spacing w:line="24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561" w:type="dxa"/>
            <w:vMerge w:val="continue"/>
            <w:tcBorders>
              <w:top w:val="nil"/>
              <w:left w:val="single" w:color="auto" w:sz="4" w:space="0"/>
              <w:bottom w:val="single" w:color="auto" w:sz="4" w:space="0"/>
              <w:right w:val="single" w:color="auto" w:sz="4" w:space="0"/>
            </w:tcBorders>
            <w:noWrap w:val="0"/>
            <w:vAlign w:val="center"/>
          </w:tcPr>
          <w:p>
            <w:pPr>
              <w:spacing w:line="240" w:lineRule="auto"/>
              <w:rPr>
                <w:rFonts w:hint="eastAsia" w:ascii="宋体" w:hAnsi="宋体" w:eastAsia="宋体" w:cs="宋体"/>
                <w:color w:val="auto"/>
                <w:sz w:val="21"/>
                <w:szCs w:val="21"/>
                <w:highlight w:val="none"/>
              </w:rPr>
            </w:pPr>
          </w:p>
        </w:tc>
        <w:tc>
          <w:tcPr>
            <w:tcW w:w="1566" w:type="dxa"/>
            <w:vMerge w:val="continue"/>
            <w:tcBorders>
              <w:top w:val="nil"/>
              <w:left w:val="nil"/>
              <w:bottom w:val="single" w:color="auto" w:sz="4" w:space="0"/>
              <w:right w:val="single" w:color="auto" w:sz="4" w:space="0"/>
            </w:tcBorders>
            <w:noWrap w:val="0"/>
            <w:vAlign w:val="center"/>
          </w:tcPr>
          <w:p>
            <w:pPr>
              <w:spacing w:line="240" w:lineRule="auto"/>
              <w:rPr>
                <w:rFonts w:hint="eastAsia" w:ascii="宋体" w:hAnsi="宋体" w:eastAsia="宋体" w:cs="宋体"/>
                <w:color w:val="auto"/>
                <w:sz w:val="21"/>
                <w:szCs w:val="21"/>
                <w:highlight w:val="none"/>
              </w:rPr>
            </w:pPr>
          </w:p>
        </w:tc>
        <w:tc>
          <w:tcPr>
            <w:tcW w:w="139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250mm*100m平面/卷</w:t>
            </w:r>
          </w:p>
        </w:tc>
        <w:tc>
          <w:tcPr>
            <w:tcW w:w="568"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卷</w:t>
            </w:r>
          </w:p>
        </w:tc>
        <w:tc>
          <w:tcPr>
            <w:tcW w:w="75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1200</w:t>
            </w:r>
          </w:p>
        </w:tc>
        <w:tc>
          <w:tcPr>
            <w:tcW w:w="5953" w:type="dxa"/>
            <w:vMerge w:val="continue"/>
            <w:tcBorders>
              <w:top w:val="nil"/>
              <w:left w:val="nil"/>
              <w:bottom w:val="single" w:color="auto" w:sz="4" w:space="0"/>
              <w:right w:val="single" w:color="auto" w:sz="4" w:space="0"/>
            </w:tcBorders>
            <w:noWrap w:val="0"/>
            <w:vAlign w:val="center"/>
          </w:tcPr>
          <w:p>
            <w:pPr>
              <w:spacing w:line="24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1" w:type="dxa"/>
            <w:vMerge w:val="continue"/>
            <w:tcBorders>
              <w:top w:val="nil"/>
              <w:left w:val="single" w:color="auto" w:sz="4" w:space="0"/>
              <w:bottom w:val="single" w:color="auto" w:sz="4" w:space="0"/>
              <w:right w:val="single" w:color="auto" w:sz="4" w:space="0"/>
            </w:tcBorders>
            <w:noWrap w:val="0"/>
            <w:vAlign w:val="center"/>
          </w:tcPr>
          <w:p>
            <w:pPr>
              <w:spacing w:line="240" w:lineRule="auto"/>
              <w:rPr>
                <w:rFonts w:hint="eastAsia" w:ascii="宋体" w:hAnsi="宋体" w:eastAsia="宋体" w:cs="宋体"/>
                <w:color w:val="auto"/>
                <w:sz w:val="21"/>
                <w:szCs w:val="21"/>
                <w:highlight w:val="none"/>
              </w:rPr>
            </w:pPr>
          </w:p>
        </w:tc>
        <w:tc>
          <w:tcPr>
            <w:tcW w:w="1566" w:type="dxa"/>
            <w:vMerge w:val="continue"/>
            <w:tcBorders>
              <w:top w:val="nil"/>
              <w:left w:val="nil"/>
              <w:bottom w:val="single" w:color="auto" w:sz="4" w:space="0"/>
              <w:right w:val="single" w:color="auto" w:sz="4" w:space="0"/>
            </w:tcBorders>
            <w:noWrap w:val="0"/>
            <w:vAlign w:val="center"/>
          </w:tcPr>
          <w:p>
            <w:pPr>
              <w:spacing w:line="240" w:lineRule="auto"/>
              <w:rPr>
                <w:rFonts w:hint="eastAsia" w:ascii="宋体" w:hAnsi="宋体" w:eastAsia="宋体" w:cs="宋体"/>
                <w:color w:val="auto"/>
                <w:sz w:val="21"/>
                <w:szCs w:val="21"/>
                <w:highlight w:val="none"/>
              </w:rPr>
            </w:pPr>
          </w:p>
        </w:tc>
        <w:tc>
          <w:tcPr>
            <w:tcW w:w="1392" w:type="dxa"/>
            <w:tcBorders>
              <w:top w:val="single" w:color="auto" w:sz="4" w:space="0"/>
              <w:left w:val="nil"/>
              <w:right w:val="single" w:color="auto"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300mm*100m平面/卷</w:t>
            </w:r>
          </w:p>
        </w:tc>
        <w:tc>
          <w:tcPr>
            <w:tcW w:w="568"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卷</w:t>
            </w:r>
          </w:p>
        </w:tc>
        <w:tc>
          <w:tcPr>
            <w:tcW w:w="753" w:type="dxa"/>
            <w:tcBorders>
              <w:top w:val="single" w:color="auto" w:sz="4" w:space="0"/>
              <w:left w:val="nil"/>
              <w:right w:val="single" w:color="auto" w:sz="4" w:space="0"/>
            </w:tcBorders>
            <w:noWrap w:val="0"/>
            <w:vAlign w:val="center"/>
          </w:tcPr>
          <w:p>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1350</w:t>
            </w:r>
          </w:p>
        </w:tc>
        <w:tc>
          <w:tcPr>
            <w:tcW w:w="5953" w:type="dxa"/>
            <w:vMerge w:val="continue"/>
            <w:tcBorders>
              <w:top w:val="nil"/>
              <w:left w:val="nil"/>
              <w:bottom w:val="single" w:color="auto" w:sz="4" w:space="0"/>
              <w:right w:val="single" w:color="auto" w:sz="4" w:space="0"/>
            </w:tcBorders>
            <w:noWrap w:val="0"/>
            <w:vAlign w:val="center"/>
          </w:tcPr>
          <w:p>
            <w:pPr>
              <w:spacing w:line="24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561"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566" w:type="dxa"/>
            <w:tcBorders>
              <w:top w:val="single" w:color="auto" w:sz="4" w:space="0"/>
              <w:left w:val="nil"/>
              <w:bottom w:val="single" w:color="auto" w:sz="4" w:space="0"/>
              <w:right w:val="single" w:color="auto" w:sz="4" w:space="0"/>
            </w:tcBorders>
            <w:noWrap/>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过氧化氢低温等离子体灭菌1小时极速生物指示剂</w:t>
            </w:r>
          </w:p>
        </w:tc>
        <w:tc>
          <w:tcPr>
            <w:tcW w:w="1392" w:type="dxa"/>
            <w:tcBorders>
              <w:top w:val="single" w:color="auto" w:sz="4" w:space="0"/>
              <w:left w:val="nil"/>
              <w:bottom w:val="single" w:color="auto" w:sz="4" w:space="0"/>
              <w:right w:val="single" w:color="auto" w:sz="4" w:space="0"/>
            </w:tcBorders>
            <w:noWrap/>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支/盒</w:t>
            </w:r>
          </w:p>
        </w:tc>
        <w:tc>
          <w:tcPr>
            <w:tcW w:w="568"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w:t>
            </w:r>
          </w:p>
        </w:tc>
        <w:tc>
          <w:tcPr>
            <w:tcW w:w="75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55</w:t>
            </w:r>
          </w:p>
        </w:tc>
        <w:tc>
          <w:tcPr>
            <w:tcW w:w="5953"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①用于过氧化氢低温等离子体灭菌效果1小时快速监测。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②采用嗜热脂肪杆菌芽孢监测，符合GB/T18281要求，通过荧光监测α-葡糖苷酶活性与否，监测嗜热脂肪杆菌芽孢是否存活，来判断过氧化氢低温等离子体灭菌是否合格。极速生物指示剂能够与本院极速生物阅读器配套使用，提供产品有效的安全评价报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③自含式设计，避免二次污染，生物指示剂外表面标签处含相关化学指示物以区分。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561"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566" w:type="dxa"/>
            <w:tcBorders>
              <w:top w:val="single" w:color="auto" w:sz="4" w:space="0"/>
              <w:left w:val="nil"/>
              <w:bottom w:val="single" w:color="auto" w:sz="4" w:space="0"/>
              <w:right w:val="single" w:color="auto" w:sz="4" w:space="0"/>
            </w:tcBorders>
            <w:noWrap/>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过氧化氢低温等离子体灭菌生物指示剂</w:t>
            </w:r>
          </w:p>
        </w:tc>
        <w:tc>
          <w:tcPr>
            <w:tcW w:w="1392" w:type="dxa"/>
            <w:tcBorders>
              <w:top w:val="single" w:color="auto" w:sz="4" w:space="0"/>
              <w:left w:val="nil"/>
              <w:bottom w:val="single" w:color="auto" w:sz="4" w:space="0"/>
              <w:right w:val="single" w:color="auto" w:sz="4" w:space="0"/>
            </w:tcBorders>
            <w:noWrap/>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50支/盒</w:t>
            </w:r>
          </w:p>
        </w:tc>
        <w:tc>
          <w:tcPr>
            <w:tcW w:w="568"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w:t>
            </w:r>
          </w:p>
        </w:tc>
        <w:tc>
          <w:tcPr>
            <w:tcW w:w="75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8</w:t>
            </w:r>
          </w:p>
        </w:tc>
        <w:tc>
          <w:tcPr>
            <w:tcW w:w="5953" w:type="dxa"/>
            <w:tcBorders>
              <w:top w:val="single" w:color="auto" w:sz="4" w:space="0"/>
              <w:left w:val="nil"/>
              <w:bottom w:val="single" w:color="auto" w:sz="4" w:space="0"/>
              <w:right w:val="single" w:color="auto" w:sz="4" w:space="0"/>
            </w:tcBorders>
            <w:noWrap w:val="0"/>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①适用于本院过氧化氢低温等离子体灭菌器灭菌效果监测。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②采用嗜热脂肪杆菌芽孢监测，符合GB/T18281要求，生物指示剂能够与本院低温等离子灭菌器配套使用，</w:t>
            </w:r>
            <w:r>
              <w:rPr>
                <w:rFonts w:hint="eastAsia" w:ascii="宋体" w:hAnsi="宋体" w:eastAsia="宋体" w:cs="宋体"/>
                <w:b/>
                <w:bCs/>
                <w:i w:val="0"/>
                <w:iCs w:val="0"/>
                <w:color w:val="auto"/>
                <w:kern w:val="0"/>
                <w:sz w:val="21"/>
                <w:szCs w:val="21"/>
                <w:highlight w:val="none"/>
                <w:u w:val="none"/>
                <w:lang w:val="en-US" w:eastAsia="zh-CN" w:bidi="ar"/>
              </w:rPr>
              <w:t>提供产品有效的安全评价报告</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③自含式设计，避免二次污染，生物指示剂外表面标签处含相关化学指示物以区分。</w:t>
            </w:r>
          </w:p>
        </w:tc>
      </w:tr>
    </w:tbl>
    <w:p>
      <w:pPr>
        <w:tabs>
          <w:tab w:val="left" w:pos="360"/>
        </w:tabs>
        <w:spacing w:line="460" w:lineRule="exact"/>
        <w:outlineLvl w:val="1"/>
        <w:rPr>
          <w:rFonts w:hint="eastAsia" w:ascii="宋体" w:hAnsi="宋体" w:cs="宋体"/>
          <w:b/>
          <w:szCs w:val="21"/>
          <w:highlight w:val="none"/>
        </w:rPr>
      </w:pPr>
      <w:r>
        <w:rPr>
          <w:rFonts w:hint="eastAsia" w:ascii="宋体" w:hAnsi="宋体" w:cs="宋体"/>
          <w:b/>
          <w:szCs w:val="21"/>
          <w:highlight w:val="none"/>
        </w:rPr>
        <w:t>三、其他要求</w:t>
      </w:r>
    </w:p>
    <w:p>
      <w:pPr>
        <w:spacing w:line="460" w:lineRule="exact"/>
        <w:ind w:firstLine="422" w:firstLineChars="200"/>
        <w:rPr>
          <w:rFonts w:hint="eastAsia" w:ascii="宋体" w:hAnsi="宋体" w:cs="宋体"/>
          <w:b/>
          <w:bCs/>
          <w:snapToGrid w:val="0"/>
          <w:szCs w:val="21"/>
          <w:highlight w:val="none"/>
        </w:rPr>
      </w:pPr>
      <w:r>
        <w:rPr>
          <w:rFonts w:hint="eastAsia" w:ascii="宋体" w:hAnsi="宋体" w:cs="宋体"/>
          <w:b/>
          <w:bCs/>
          <w:snapToGrid w:val="0"/>
          <w:szCs w:val="21"/>
          <w:highlight w:val="none"/>
        </w:rPr>
        <w:t>1、交货要求：</w:t>
      </w:r>
    </w:p>
    <w:p>
      <w:pPr>
        <w:spacing w:line="460" w:lineRule="exact"/>
        <w:ind w:left="420" w:leftChars="200"/>
        <w:rPr>
          <w:rFonts w:hint="eastAsia" w:ascii="宋体" w:hAnsi="宋体" w:cs="宋体"/>
          <w:snapToGrid w:val="0"/>
          <w:szCs w:val="21"/>
          <w:highlight w:val="none"/>
        </w:rPr>
      </w:pPr>
      <w:r>
        <w:rPr>
          <w:rFonts w:hint="eastAsia" w:ascii="宋体" w:hAnsi="宋体" w:cs="宋体"/>
          <w:snapToGrid w:val="0"/>
          <w:szCs w:val="21"/>
          <w:highlight w:val="none"/>
        </w:rPr>
        <w:t>（1）交货地点：采购人指定地点。</w:t>
      </w:r>
    </w:p>
    <w:p>
      <w:pPr>
        <w:spacing w:line="460" w:lineRule="exact"/>
        <w:ind w:firstLine="420" w:firstLineChars="200"/>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（2）交货时间：自合同签订后，按采购人要求分批供货，接到采购人供</w:t>
      </w:r>
      <w:r>
        <w:rPr>
          <w:rFonts w:hint="eastAsia" w:ascii="宋体" w:hAnsi="宋体" w:cs="宋体"/>
          <w:snapToGrid w:val="0"/>
          <w:color w:val="auto"/>
          <w:szCs w:val="21"/>
          <w:highlight w:val="none"/>
          <w:u w:val="none"/>
        </w:rPr>
        <w:t>货通知后</w:t>
      </w:r>
      <w:r>
        <w:rPr>
          <w:rFonts w:hint="eastAsia" w:ascii="宋体" w:hAnsi="宋体" w:cs="宋体"/>
          <w:snapToGrid w:val="0"/>
          <w:color w:val="auto"/>
          <w:szCs w:val="21"/>
          <w:highlight w:val="none"/>
          <w:u w:val="none"/>
          <w:lang w:val="en-US" w:eastAsia="zh-CN"/>
        </w:rPr>
        <w:t>7</w:t>
      </w:r>
      <w:r>
        <w:rPr>
          <w:rFonts w:hint="eastAsia" w:ascii="宋体" w:hAnsi="宋体" w:cs="宋体"/>
          <w:snapToGrid w:val="0"/>
          <w:color w:val="auto"/>
          <w:szCs w:val="21"/>
          <w:highlight w:val="none"/>
          <w:u w:val="none"/>
        </w:rPr>
        <w:t>日</w:t>
      </w:r>
      <w:r>
        <w:rPr>
          <w:rFonts w:hint="eastAsia" w:ascii="宋体" w:hAnsi="宋体" w:cs="宋体"/>
          <w:snapToGrid w:val="0"/>
          <w:color w:val="auto"/>
          <w:szCs w:val="21"/>
          <w:highlight w:val="none"/>
        </w:rPr>
        <w:t>内完成供货。</w:t>
      </w:r>
    </w:p>
    <w:p>
      <w:pPr>
        <w:widowControl/>
        <w:shd w:val="clear" w:color="auto" w:fill="FFFFFF"/>
        <w:spacing w:line="360" w:lineRule="auto"/>
        <w:ind w:firstLine="422" w:firstLineChars="200"/>
        <w:rPr>
          <w:rFonts w:ascii="宋体" w:hAnsi="宋体" w:cs="宋体"/>
          <w:b/>
          <w:szCs w:val="21"/>
          <w:highlight w:val="none"/>
        </w:rPr>
      </w:pPr>
      <w:r>
        <w:rPr>
          <w:rFonts w:hint="eastAsia" w:ascii="宋体" w:hAnsi="宋体" w:cs="宋体"/>
          <w:b/>
          <w:bCs/>
          <w:snapToGrid w:val="0"/>
          <w:szCs w:val="21"/>
          <w:highlight w:val="none"/>
        </w:rPr>
        <w:t>2、货物质量要求：</w:t>
      </w:r>
    </w:p>
    <w:p>
      <w:pPr>
        <w:spacing w:line="360" w:lineRule="auto"/>
        <w:ind w:firstLine="420" w:firstLineChars="200"/>
        <w:rPr>
          <w:rFonts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lang w:val="en-US" w:eastAsia="zh-CN"/>
        </w:rPr>
        <w:t>1</w:t>
      </w:r>
      <w:r>
        <w:rPr>
          <w:rFonts w:hint="eastAsia" w:ascii="宋体" w:hAnsi="宋体" w:cs="宋体"/>
          <w:szCs w:val="21"/>
          <w:highlight w:val="none"/>
          <w:lang w:eastAsia="zh-CN"/>
        </w:rPr>
        <w:t>）</w:t>
      </w:r>
      <w:r>
        <w:rPr>
          <w:rFonts w:hint="eastAsia" w:ascii="宋体" w:hAnsi="宋体" w:cs="宋体"/>
          <w:szCs w:val="21"/>
          <w:highlight w:val="none"/>
        </w:rPr>
        <w:t>投标人</w:t>
      </w:r>
      <w:r>
        <w:rPr>
          <w:rFonts w:hint="eastAsia" w:ascii="宋体" w:hAnsi="宋体" w:cs="宋体"/>
          <w:snapToGrid w:val="0"/>
          <w:szCs w:val="21"/>
          <w:highlight w:val="none"/>
        </w:rPr>
        <w:t>提供的产品其技术标准按国家标准执行，无国家标准的，按行业标准执行，无国家和行业标准的，按企业标准执行；招标文件中有特别要求的，按招标文件中规定的要求执行，并且符合相关法律、法规规定的要求。</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lang w:val="en-US" w:eastAsia="zh-CN"/>
        </w:rPr>
        <w:t>2</w:t>
      </w:r>
      <w:r>
        <w:rPr>
          <w:rFonts w:hint="eastAsia" w:ascii="宋体" w:hAnsi="宋体" w:cs="宋体"/>
          <w:szCs w:val="21"/>
          <w:highlight w:val="none"/>
          <w:lang w:eastAsia="zh-CN"/>
        </w:rPr>
        <w:t>）</w:t>
      </w:r>
      <w:r>
        <w:rPr>
          <w:rFonts w:hint="eastAsia" w:ascii="宋体" w:hAnsi="宋体" w:cs="宋体"/>
          <w:szCs w:val="21"/>
          <w:highlight w:val="none"/>
        </w:rPr>
        <w:t>投标人</w:t>
      </w:r>
      <w:r>
        <w:rPr>
          <w:rFonts w:hint="eastAsia" w:ascii="宋体" w:hAnsi="宋体" w:cs="宋体"/>
          <w:szCs w:val="21"/>
          <w:highlight w:val="none"/>
          <w:lang w:val="zh-CN"/>
        </w:rPr>
        <w:t>提供的服务及货物必须符合国家、省相关规定的质量标准以及采购人的相关要求。</w:t>
      </w:r>
    </w:p>
    <w:p>
      <w:pPr>
        <w:autoSpaceDE w:val="0"/>
        <w:autoSpaceDN w:val="0"/>
        <w:spacing w:line="460" w:lineRule="exact"/>
        <w:ind w:firstLine="420"/>
        <w:rPr>
          <w:rFonts w:hint="eastAsia" w:ascii="宋体" w:hAnsi="宋体" w:cs="宋体"/>
          <w:szCs w:val="21"/>
          <w:highlight w:val="none"/>
        </w:rPr>
      </w:pPr>
      <w:r>
        <w:rPr>
          <w:rFonts w:hint="eastAsia" w:ascii="宋体" w:hAnsi="宋体" w:cs="宋体"/>
          <w:b/>
          <w:bCs/>
          <w:snapToGrid w:val="0"/>
          <w:szCs w:val="21"/>
          <w:highlight w:val="none"/>
        </w:rPr>
        <w:t>3、售后服务</w:t>
      </w:r>
      <w:r>
        <w:rPr>
          <w:rFonts w:hint="eastAsia" w:ascii="宋体" w:hAnsi="宋体" w:cs="宋体"/>
          <w:b/>
          <w:bCs/>
          <w:snapToGrid w:val="0"/>
          <w:szCs w:val="21"/>
          <w:highlight w:val="none"/>
          <w:lang w:val="en-US" w:eastAsia="zh-CN"/>
        </w:rPr>
        <w:t>要求</w:t>
      </w:r>
      <w:r>
        <w:rPr>
          <w:rFonts w:hint="eastAsia" w:ascii="宋体" w:hAnsi="宋体" w:cs="宋体"/>
          <w:b/>
          <w:bCs/>
          <w:snapToGrid w:val="0"/>
          <w:szCs w:val="21"/>
          <w:highlight w:val="none"/>
        </w:rPr>
        <w:t>：</w:t>
      </w:r>
      <w:r>
        <w:rPr>
          <w:rFonts w:hint="eastAsia" w:ascii="宋体" w:hAnsi="宋体" w:cs="宋体"/>
          <w:szCs w:val="21"/>
          <w:highlight w:val="none"/>
        </w:rPr>
        <w:t>本项目所需产品的质保期执行厂家质保期，质保期内</w:t>
      </w:r>
      <w:r>
        <w:rPr>
          <w:rFonts w:hint="eastAsia" w:ascii="宋体" w:hAnsi="宋体" w:cs="宋体"/>
          <w:szCs w:val="21"/>
          <w:highlight w:val="none"/>
          <w:lang w:eastAsia="zh-CN"/>
        </w:rPr>
        <w:t>投标人</w:t>
      </w:r>
      <w:r>
        <w:rPr>
          <w:rFonts w:hint="eastAsia" w:ascii="宋体" w:hAnsi="宋体" w:cs="宋体"/>
          <w:szCs w:val="21"/>
          <w:highlight w:val="none"/>
        </w:rPr>
        <w:t>应负责产品的质量，如出现问题，接到采购方通知后1小时内给予响应并应负责包退、包换，并承担因产品质量问题导致的一切后果。</w:t>
      </w:r>
    </w:p>
    <w:p>
      <w:pPr>
        <w:spacing w:line="460" w:lineRule="exact"/>
        <w:ind w:firstLine="422" w:firstLineChars="200"/>
        <w:rPr>
          <w:rFonts w:hint="eastAsia" w:ascii="宋体" w:hAnsi="宋体" w:cs="宋体"/>
          <w:szCs w:val="21"/>
          <w:highlight w:val="none"/>
        </w:rPr>
      </w:pPr>
      <w:r>
        <w:rPr>
          <w:rFonts w:hint="eastAsia" w:ascii="宋体" w:hAnsi="宋体" w:cs="宋体"/>
          <w:b/>
          <w:bCs/>
          <w:snapToGrid w:val="0"/>
          <w:szCs w:val="21"/>
          <w:highlight w:val="none"/>
        </w:rPr>
        <w:t>4、报价要求：</w:t>
      </w:r>
      <w:r>
        <w:rPr>
          <w:rFonts w:hint="eastAsia" w:ascii="宋体" w:hAnsi="宋体" w:cs="宋体"/>
          <w:bCs/>
          <w:snapToGrid w:val="0"/>
          <w:szCs w:val="21"/>
          <w:highlight w:val="none"/>
          <w:lang w:eastAsia="zh-CN"/>
        </w:rPr>
        <w:t>投标人</w:t>
      </w:r>
      <w:r>
        <w:rPr>
          <w:rFonts w:hint="eastAsia" w:ascii="宋体" w:hAnsi="宋体" w:cs="宋体"/>
          <w:bCs/>
          <w:snapToGrid w:val="0"/>
          <w:szCs w:val="21"/>
          <w:highlight w:val="none"/>
        </w:rPr>
        <w:t>按费率进行报价，其</w:t>
      </w:r>
      <w:r>
        <w:rPr>
          <w:rFonts w:hint="eastAsia"/>
          <w:szCs w:val="21"/>
          <w:highlight w:val="none"/>
        </w:rPr>
        <w:t>报价费率不得超过最高限价的100%；</w:t>
      </w:r>
      <w:r>
        <w:rPr>
          <w:rFonts w:hint="eastAsia" w:ascii="宋体" w:hAnsi="宋体" w:cs="宋体"/>
          <w:szCs w:val="21"/>
          <w:highlight w:val="none"/>
        </w:rPr>
        <w:t>其报价应包含产品费用、</w:t>
      </w:r>
      <w:r>
        <w:rPr>
          <w:rFonts w:ascii="宋体" w:hAnsi="宋体" w:cs="宋体"/>
          <w:szCs w:val="21"/>
          <w:highlight w:val="none"/>
        </w:rPr>
        <w:t>运费(多次分批量送货</w:t>
      </w:r>
      <w:r>
        <w:rPr>
          <w:rFonts w:hint="eastAsia" w:ascii="宋体" w:hAnsi="宋体" w:cs="宋体"/>
          <w:szCs w:val="21"/>
          <w:highlight w:val="none"/>
        </w:rPr>
        <w:t>，含装卸力资）、</w:t>
      </w:r>
      <w:r>
        <w:rPr>
          <w:rFonts w:ascii="宋体" w:hAnsi="宋体" w:cs="宋体"/>
          <w:szCs w:val="21"/>
          <w:highlight w:val="none"/>
        </w:rPr>
        <w:t>税费</w:t>
      </w:r>
      <w:r>
        <w:rPr>
          <w:rFonts w:hint="eastAsia" w:ascii="宋体" w:hAnsi="宋体" w:cs="宋体"/>
          <w:szCs w:val="21"/>
          <w:highlight w:val="none"/>
        </w:rPr>
        <w:t>、</w:t>
      </w:r>
      <w:r>
        <w:rPr>
          <w:rFonts w:hint="eastAsia" w:ascii="宋体" w:hAnsi="宋体" w:cs="宋体"/>
          <w:szCs w:val="21"/>
          <w:highlight w:val="none"/>
          <w:lang w:val="zh-CN"/>
        </w:rPr>
        <w:t>检验</w:t>
      </w:r>
      <w:r>
        <w:rPr>
          <w:rFonts w:hint="eastAsia" w:ascii="宋体" w:hAnsi="宋体" w:cs="宋体"/>
          <w:szCs w:val="21"/>
          <w:highlight w:val="none"/>
        </w:rPr>
        <w:t>费</w:t>
      </w:r>
      <w:r>
        <w:rPr>
          <w:rFonts w:hint="eastAsia" w:ascii="宋体" w:hAnsi="宋体" w:cs="宋体"/>
          <w:szCs w:val="21"/>
          <w:highlight w:val="none"/>
          <w:lang w:val="zh-CN"/>
        </w:rPr>
        <w:t>、</w:t>
      </w:r>
      <w:r>
        <w:rPr>
          <w:rFonts w:ascii="宋体" w:hAnsi="宋体" w:cs="宋体"/>
          <w:szCs w:val="21"/>
          <w:highlight w:val="none"/>
        </w:rPr>
        <w:t>保险费、</w:t>
      </w:r>
      <w:r>
        <w:rPr>
          <w:rFonts w:hint="eastAsia" w:ascii="宋体" w:hAnsi="宋体" w:cs="宋体"/>
          <w:szCs w:val="21"/>
          <w:highlight w:val="none"/>
        </w:rPr>
        <w:t>仓储费、包装费、培训费、</w:t>
      </w:r>
      <w:r>
        <w:rPr>
          <w:rFonts w:hint="eastAsia" w:ascii="宋体" w:hAnsi="宋体" w:cs="宋体"/>
          <w:szCs w:val="21"/>
          <w:highlight w:val="none"/>
          <w:lang w:val="zh-CN"/>
        </w:rPr>
        <w:t>技术服务、</w:t>
      </w:r>
      <w:r>
        <w:rPr>
          <w:rFonts w:hint="eastAsia" w:ascii="宋体" w:hAnsi="宋体" w:cs="宋体"/>
          <w:szCs w:val="21"/>
          <w:highlight w:val="none"/>
        </w:rPr>
        <w:t>售后服务、为完成本项目所必须的其他辅助工作的相关费用等所有费用。</w:t>
      </w:r>
      <w:r>
        <w:rPr>
          <w:rFonts w:hint="eastAsia" w:ascii="宋体" w:hAnsi="宋体" w:cs="宋体"/>
          <w:szCs w:val="21"/>
          <w:highlight w:val="none"/>
          <w:lang w:eastAsia="zh-CN"/>
        </w:rPr>
        <w:t>投标人</w:t>
      </w:r>
      <w:r>
        <w:rPr>
          <w:rFonts w:hint="eastAsia" w:ascii="宋体" w:hAnsi="宋体" w:cs="宋体"/>
          <w:szCs w:val="21"/>
          <w:highlight w:val="none"/>
        </w:rPr>
        <w:t>应结合采购需求及现场情况合理报价，一旦中标，中标价后期将不作任何调整。</w:t>
      </w:r>
    </w:p>
    <w:p>
      <w:pPr>
        <w:spacing w:line="460" w:lineRule="exact"/>
        <w:ind w:left="420" w:leftChars="200" w:firstLine="0" w:firstLineChars="0"/>
        <w:rPr>
          <w:rFonts w:hint="eastAsia" w:ascii="宋体" w:hAnsi="宋体" w:cs="宋体"/>
          <w:b/>
          <w:bCs/>
          <w:szCs w:val="21"/>
          <w:highlight w:val="none"/>
        </w:rPr>
      </w:pPr>
      <w:r>
        <w:rPr>
          <w:rFonts w:hint="eastAsia" w:ascii="宋体" w:hAnsi="宋体" w:cs="宋体"/>
          <w:b/>
          <w:bCs/>
          <w:szCs w:val="21"/>
          <w:highlight w:val="none"/>
        </w:rPr>
        <w:t>5、其他要求：</w:t>
      </w:r>
    </w:p>
    <w:p>
      <w:pPr>
        <w:widowControl/>
        <w:numPr>
          <w:ilvl w:val="0"/>
          <w:numId w:val="0"/>
        </w:numPr>
        <w:spacing w:line="360" w:lineRule="auto"/>
        <w:ind w:firstLine="420" w:firstLineChars="200"/>
        <w:jc w:val="left"/>
        <w:rPr>
          <w:rFonts w:hint="default" w:ascii="宋体" w:hAnsi="宋体" w:eastAsia="宋体" w:cs="宋体"/>
          <w:szCs w:val="21"/>
          <w:highlight w:val="none"/>
          <w:lang w:val="en-US"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1</w:t>
      </w:r>
      <w:r>
        <w:rPr>
          <w:rFonts w:hint="eastAsia" w:ascii="宋体" w:hAnsi="宋体" w:cs="宋体"/>
          <w:szCs w:val="21"/>
          <w:highlight w:val="none"/>
          <w:lang w:eastAsia="zh-CN"/>
        </w:rPr>
        <w:t>）</w:t>
      </w:r>
      <w:r>
        <w:rPr>
          <w:rFonts w:hint="eastAsia" w:ascii="宋体" w:hAnsi="宋体" w:cs="宋体"/>
          <w:szCs w:val="21"/>
          <w:highlight w:val="none"/>
        </w:rPr>
        <w:t>产品生产日期要求近期，如发现有接近失效期的产品，</w:t>
      </w:r>
      <w:r>
        <w:rPr>
          <w:rFonts w:hint="eastAsia" w:ascii="宋体" w:hAnsi="宋体" w:cs="宋体"/>
          <w:szCs w:val="21"/>
          <w:highlight w:val="none"/>
          <w:lang w:eastAsia="zh-CN"/>
        </w:rPr>
        <w:t>中标人</w:t>
      </w:r>
      <w:r>
        <w:rPr>
          <w:rFonts w:hint="eastAsia" w:ascii="宋体" w:hAnsi="宋体" w:cs="宋体"/>
          <w:szCs w:val="21"/>
          <w:highlight w:val="none"/>
        </w:rPr>
        <w:t>应三天内更换成近期产品。供货及时周到，产品质量或外包装不符合国家规定标准的应及时退、换货。</w:t>
      </w:r>
      <w:r>
        <w:rPr>
          <w:rFonts w:hint="eastAsia" w:ascii="宋体" w:hAnsi="宋体" w:cs="宋体"/>
          <w:szCs w:val="21"/>
          <w:highlight w:val="none"/>
        </w:rPr>
        <w:br w:type="textWrapping"/>
      </w:r>
      <w:r>
        <w:rPr>
          <w:rFonts w:hint="eastAsia" w:ascii="宋体" w:hAnsi="宋体" w:cs="宋体"/>
          <w:szCs w:val="21"/>
          <w:highlight w:val="none"/>
          <w:lang w:val="en-US" w:eastAsia="zh-CN"/>
        </w:rPr>
        <w:t xml:space="preserve">    （2）</w:t>
      </w:r>
      <w:r>
        <w:rPr>
          <w:rFonts w:hint="eastAsia" w:ascii="宋体" w:hAnsi="宋体"/>
          <w:szCs w:val="21"/>
          <w:highlight w:val="none"/>
          <w:lang w:val="en-US" w:eastAsia="zh-CN"/>
        </w:rPr>
        <w:t>中</w:t>
      </w:r>
      <w:r>
        <w:rPr>
          <w:rFonts w:hint="eastAsia" w:ascii="宋体" w:hAnsi="宋体"/>
          <w:szCs w:val="21"/>
          <w:highlight w:val="none"/>
        </w:rPr>
        <w:t>标人需在中标后签订合同前提供</w:t>
      </w:r>
      <w:r>
        <w:rPr>
          <w:rFonts w:hint="eastAsia" w:ascii="宋体" w:hAnsi="宋体"/>
          <w:szCs w:val="21"/>
          <w:highlight w:val="none"/>
          <w:lang w:val="en-US" w:eastAsia="zh-CN"/>
        </w:rPr>
        <w:t>所投产品</w:t>
      </w:r>
      <w:r>
        <w:rPr>
          <w:rFonts w:hint="eastAsia" w:ascii="宋体" w:hAnsi="宋体"/>
          <w:szCs w:val="21"/>
          <w:highlight w:val="none"/>
        </w:rPr>
        <w:t>加盖厂家公章的</w:t>
      </w:r>
      <w:r>
        <w:rPr>
          <w:rFonts w:hint="eastAsia" w:ascii="宋体" w:hAnsi="宋体"/>
          <w:szCs w:val="21"/>
          <w:highlight w:val="none"/>
          <w:lang w:val="en-US" w:eastAsia="zh-CN"/>
        </w:rPr>
        <w:t>授权书</w:t>
      </w:r>
      <w:r>
        <w:rPr>
          <w:rFonts w:hint="eastAsia" w:ascii="宋体" w:hAnsi="宋体"/>
          <w:szCs w:val="21"/>
          <w:highlight w:val="none"/>
        </w:rPr>
        <w:t>，否则采购单位有权取消中标单位中标资格，并不予退还投标保证金。</w:t>
      </w:r>
    </w:p>
    <w:p>
      <w:pPr>
        <w:spacing w:line="460" w:lineRule="exact"/>
        <w:ind w:firstLine="422" w:firstLineChars="200"/>
        <w:rPr>
          <w:rFonts w:hint="eastAsia" w:ascii="宋体" w:hAnsi="宋体" w:cs="宋体"/>
          <w:b/>
          <w:bCs/>
          <w:szCs w:val="21"/>
          <w:highlight w:val="none"/>
        </w:rPr>
      </w:pPr>
      <w:r>
        <w:rPr>
          <w:rFonts w:hint="eastAsia" w:ascii="宋体" w:hAnsi="宋体" w:cs="宋体"/>
          <w:b/>
          <w:bCs/>
          <w:szCs w:val="21"/>
          <w:highlight w:val="none"/>
        </w:rPr>
        <w:t>6、付款方式：</w:t>
      </w:r>
    </w:p>
    <w:p>
      <w:pPr>
        <w:spacing w:line="46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（1）结算原则：结算时按实际供货量进行结算。其结算价=实际供货数量*单价限价*中标费率。</w:t>
      </w:r>
    </w:p>
    <w:p>
      <w:pPr>
        <w:spacing w:line="460" w:lineRule="exact"/>
        <w:ind w:firstLine="420" w:firstLineChars="200"/>
        <w:rPr>
          <w:rFonts w:ascii="宋体" w:hAnsi="宋体" w:cs="宋体"/>
          <w:snapToGrid w:val="0"/>
          <w:kern w:val="0"/>
          <w:szCs w:val="21"/>
          <w:highlight w:val="none"/>
        </w:rPr>
      </w:pPr>
      <w:r>
        <w:rPr>
          <w:rFonts w:hint="eastAsia" w:ascii="宋体" w:hAnsi="宋体" w:eastAsia="宋体" w:cs="宋体"/>
          <w:szCs w:val="21"/>
          <w:highlight w:val="none"/>
        </w:rPr>
        <w:t>（2）按批次付款，每批次供货完成且经采购人验收合格后按安庆市中医医院财务管理制度付款。付款凭正式税务发票，发票需由中标人开具。</w:t>
      </w:r>
    </w:p>
    <w:p>
      <w:pPr>
        <w:rPr>
          <w:highlight w:val="none"/>
        </w:rPr>
      </w:pPr>
    </w:p>
    <w:bookmarkEnd w:id="4"/>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iOTI1YjMzNzU1MGU0NTliYzYxY2RiZWM1MzEwMGQifQ=="/>
  </w:docVars>
  <w:rsids>
    <w:rsidRoot w:val="5E18295D"/>
    <w:rsid w:val="48E23F69"/>
    <w:rsid w:val="5E18295D"/>
    <w:rsid w:val="64D43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pPr>
  </w:style>
  <w:style w:type="paragraph" w:styleId="3">
    <w:name w:val="Body Text First Indent 2"/>
    <w:basedOn w:val="4"/>
    <w:next w:val="6"/>
    <w:unhideWhenUsed/>
    <w:qFormat/>
    <w:uiPriority w:val="99"/>
    <w:pPr>
      <w:ind w:firstLine="420"/>
    </w:pPr>
    <w:rPr>
      <w:rFonts w:eastAsia="楷体_GB2312"/>
    </w:rPr>
  </w:style>
  <w:style w:type="paragraph" w:styleId="4">
    <w:name w:val="Body Text Indent"/>
    <w:basedOn w:val="1"/>
    <w:next w:val="5"/>
    <w:qFormat/>
    <w:uiPriority w:val="0"/>
    <w:pPr>
      <w:ind w:firstLine="645"/>
    </w:pPr>
    <w:rPr>
      <w:sz w:val="20"/>
    </w:rPr>
  </w:style>
  <w:style w:type="paragraph" w:styleId="5">
    <w:name w:val="envelope return"/>
    <w:basedOn w:val="1"/>
    <w:unhideWhenUsed/>
    <w:qFormat/>
    <w:uiPriority w:val="0"/>
    <w:pPr>
      <w:snapToGrid w:val="0"/>
      <w:spacing w:beforeLines="50" w:afterLines="50" w:line="360" w:lineRule="auto"/>
      <w:ind w:firstLine="480" w:firstLineChars="200"/>
    </w:pPr>
    <w:rPr>
      <w:rFonts w:ascii="Arial" w:hAnsi="Arial" w:cs="Arial"/>
      <w:sz w:val="24"/>
    </w:rPr>
  </w:style>
  <w:style w:type="paragraph" w:styleId="6">
    <w:name w:val="Body Text First Indent"/>
    <w:basedOn w:val="7"/>
    <w:qFormat/>
    <w:uiPriority w:val="0"/>
    <w:pPr>
      <w:spacing w:after="120"/>
      <w:ind w:firstLine="420" w:firstLineChars="100"/>
    </w:pPr>
    <w:rPr>
      <w:rFonts w:ascii="Times New Roman" w:hAnsi="Times New Roman" w:eastAsia="宋体"/>
      <w:sz w:val="24"/>
      <w:szCs w:val="24"/>
    </w:rPr>
  </w:style>
  <w:style w:type="paragraph" w:styleId="7">
    <w:name w:val="Body Text"/>
    <w:basedOn w:val="1"/>
    <w:next w:val="8"/>
    <w:qFormat/>
    <w:uiPriority w:val="0"/>
    <w:rPr>
      <w:rFonts w:ascii="楷体_GB2312" w:hAnsi="Arial" w:eastAsia="楷体_GB2312"/>
      <w:sz w:val="20"/>
    </w:rPr>
  </w:style>
  <w:style w:type="paragraph" w:styleId="8">
    <w:name w:val="toc 8"/>
    <w:basedOn w:val="1"/>
    <w:next w:val="1"/>
    <w:qFormat/>
    <w:uiPriority w:val="0"/>
    <w:pPr>
      <w:ind w:left="147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5509</Words>
  <Characters>5991</Characters>
  <Lines>0</Lines>
  <Paragraphs>0</Paragraphs>
  <TotalTime>3</TotalTime>
  <ScaleCrop>false</ScaleCrop>
  <LinksUpToDate>false</LinksUpToDate>
  <CharactersWithSpaces>6508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2023-04-18T01:25:00Z</dcterms:created>
  <dc:creator>兔子爱上了窝边草</dc:creator>
  <cp:lastModifiedBy>无名</cp:lastModifiedBy>
  <dcterms:modified xsi:type="dcterms:W3CDTF">2023-04-18T06:58:42Z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618E1D6F0F1B44FD949C23E4339DA345_13</vt:lpwstr>
  </property>
</Properties>
</file>