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宋体" w:hAnsi="宋体"/>
          <w:szCs w:val="32"/>
          <w:highlight w:val="none"/>
        </w:rPr>
      </w:pPr>
      <w:bookmarkStart w:id="1" w:name="_GoBack"/>
      <w:r>
        <w:rPr>
          <w:rFonts w:hint="eastAsia" w:ascii="宋体" w:hAnsi="宋体"/>
          <w:szCs w:val="32"/>
          <w:highlight w:val="none"/>
        </w:rPr>
        <w:t>货物需求及技术要求</w:t>
      </w:r>
    </w:p>
    <w:bookmarkEnd w:id="1"/>
    <w:p>
      <w:pPr>
        <w:spacing w:line="440" w:lineRule="exact"/>
        <w:ind w:firstLine="422" w:firstLineChars="200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投标供应商可对该参数或要求进行适当调整，但这种调整整体上要优于或相当于招标文件的相关要求，并说明调整理由，且该调整须经评委会审核认可。</w:t>
      </w:r>
    </w:p>
    <w:p>
      <w:pPr>
        <w:spacing w:line="440" w:lineRule="exact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一、货物需求一览表</w:t>
      </w:r>
    </w:p>
    <w:tbl>
      <w:tblPr>
        <w:tblStyle w:val="6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5"/>
        <w:gridCol w:w="6230"/>
        <w:gridCol w:w="83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技术参数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胆道镜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胆道镜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视野角：120度直视，大视角及其清晰明亮的光学系统,使光照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度大大提高。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F0AB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2.分辨率≥5.9 lp/mm。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（提供检测报告证明）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3.观察景深：3mm-50mm。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4.照度：≥57000 lx。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F0AB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5.弯曲度：上（U）≥160 ˚；下（D）≥130˚。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F0AB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6.尖端部：外径Ф≤4.8mm。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7.插入管：外径Ф≤4.9mm。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F0AB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8.钳道管道：内径Ф≥2.2mm。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（提供检测报告证明）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9.接口：兼容所有品牌的摄像系统。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10.有效长：≥380mm。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11.吸引功能：吸引按钮，吸引量：</w:t>
            </w:r>
            <w:bookmarkStart w:id="0" w:name="_Hlk10024195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≥320 mL/min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。 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12.全防水：是。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13.防电击类型：BF型。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摄像机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人性化设计设计摄像头操作舒适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图像传感器1/3 SONY Super HAD CCD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3.自动曝光控制，自动消光，无反光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4.最低照度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0.8lux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5.信噪比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6.输出接口CVBS 1.0Vp-p DVI  HDMI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白平衡范围：3200-10000K。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F0AB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8.具有纤维镜图像优化功能，可去除摩尔条纹，图像更清晰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9.自动增益，微处理自动调节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10.亮调度64级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" w:char="F0AB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11.色彩增益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红64级可调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蓝64级可调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12.对比度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锐度64级可调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医用监视器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1.屏幕尺寸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 19英寸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2.显示参数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可视角度176/176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3.分辨率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≥1280*1024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4.对比度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≥1000:1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5.亮度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450CD/M²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6.视频输入端口1.0Vp-p复合/75Ω，BNC、VGA、HDMI、YPbPr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7.亮度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对比度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色度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医用冷光源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1.LED光源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2.发光模组寿命不小于20000小时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3.输出总光通量≥350ml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4.色温大于6000K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5.可以显示累计使用时间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台车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1.合金材料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高≥1150MM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宽≥500MM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深度≥450MM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3.有摄像头支架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监视器三轴180转向支架 前轮静音轮带锁定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六、配置清单</w:t>
            </w:r>
          </w:p>
          <w:tbl>
            <w:tblPr>
              <w:tblStyle w:val="7"/>
              <w:tblW w:w="4609" w:type="pct"/>
              <w:tblInd w:w="2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"/>
              <w:gridCol w:w="2992"/>
              <w:gridCol w:w="886"/>
              <w:gridCol w:w="9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货物名称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摄像主机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台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270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摄像头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冷光源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台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显示器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台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台车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辆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胆道镜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根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注水三通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吸引按钮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手压式内镜测漏器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2702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管道清洗刷等（胆道）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套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270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通气盖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2702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取石网篮</w:t>
                  </w:r>
                </w:p>
              </w:tc>
              <w:tc>
                <w:tcPr>
                  <w:tcW w:w="800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38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pacing w:line="36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</w:tbl>
          <w:p>
            <w:pPr>
              <w:spacing w:line="440" w:lineRule="exact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说明：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  <w:highlight w:val="none"/>
                <w:lang w:val="zh-TW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投标供应商的投标文件必须标明所投货物的品牌与参数，保证原厂正品供货。“技术参数”中标“★”项的须提供技术证明文件之一（医疗器械注册证、医疗器械注册登记表、第三方检测报告、产品技术白皮书、产品使用说明书）予以证明，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zh-TW"/>
              </w:rPr>
              <w:t>未提供的视为不响应。</w:t>
            </w:r>
          </w:p>
          <w:p>
            <w:pPr>
              <w:spacing w:line="440" w:lineRule="exact"/>
              <w:ind w:firstLine="422" w:firstLineChars="200"/>
              <w:rPr>
                <w:rFonts w:hint="eastAsia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2</w:t>
            </w:r>
            <w:r>
              <w:rPr>
                <w:rFonts w:hint="default"/>
                <w:b/>
                <w:bCs/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以上设备提供原装全新设备。所投货物的质保期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不低于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</w:rPr>
              <w:t>年，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若投标供应商承诺质保大于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hAnsi="宋体" w:cs="宋体"/>
                <w:b/>
                <w:bCs/>
                <w:sz w:val="21"/>
                <w:szCs w:val="21"/>
                <w:highlight w:val="none"/>
              </w:rPr>
              <w:t xml:space="preserve">的，执行投标供应商承诺的质保期；自验收合格后算起，质保期内非人为原因造成的零部件更换费用、人工费用等均由中标供应商承担（报价时须考虑此项费用）。设备运行期间，如出现故障要求在2小时内响应，工程师于24小时内到达现场给出解决方案，若不能及时解决问题，提供备用机，质保期内每年免费提供4次维护保养；负责仪器设备的维修保养以及配套控制软件的更新与维护。    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3、投标供应商提供免费技术培训，保证使用人员正常操作设备的各种功能。</w:t>
            </w:r>
          </w:p>
          <w:p>
            <w:pPr>
              <w:spacing w:line="440" w:lineRule="exact"/>
              <w:ind w:firstLine="422" w:firstLineChars="20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4、所投标设备如存在数据接口，接口须全部免费开放，与招标人的信息系统兼容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</w:rPr>
              <w:t>，所有接口费用由中标供应商支付。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二、人员培训要求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货物安装、调试、验收合格后，中标供应商应对招标人的相关人员进行免费现场培训。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三、货物质量及售后服务要求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1</w:t>
      </w:r>
      <w:r>
        <w:rPr>
          <w:rFonts w:hint="eastAsia" w:ascii="宋体" w:hAnsi="宋体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Cs w:val="21"/>
          <w:highlight w:val="none"/>
        </w:rPr>
        <w:t>货物质量：中标供应商提供的货物必须是全新、原装、合格正品，完全符合国家规定的质量标准和厂方的标准。货物完好，配件齐全。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2</w:t>
      </w:r>
      <w:r>
        <w:rPr>
          <w:rFonts w:hint="eastAsia" w:ascii="宋体" w:hAnsi="宋体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szCs w:val="21"/>
          <w:highlight w:val="none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四、验收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中标供应商和招标人双方共同实施验收工作，结果和验收报告经双方确认后生效。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五、其他要求</w:t>
      </w:r>
    </w:p>
    <w:p>
      <w:pPr>
        <w:widowControl/>
        <w:spacing w:line="440" w:lineRule="exact"/>
        <w:ind w:firstLine="422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1、中标供应商需在中标后签订合同前提供所有响应参数的</w:t>
      </w:r>
      <w:r>
        <w:rPr>
          <w:rFonts w:hint="eastAsia"/>
          <w:b/>
          <w:bCs/>
          <w:highlight w:val="none"/>
        </w:rPr>
        <w:t>技术证明文件之一（医疗器械注册证、医疗器械注册登记表、第三方检测报告、产品技术白皮书、产品使用说明书）供招标人查验，未提供或发现虚假响应的，招标人有权取消其中标资格。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66CF3D5C"/>
    <w:rsid w:val="66C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cs="黑体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2022-12-12T03:03:00Z</dcterms:created>
  <dc:creator>兔子爱上了窝边草</dc:creator>
  <cp:lastModifiedBy>兔子爱上了窝边草</cp:lastModifiedBy>
  <dcterms:modified xsi:type="dcterms:W3CDTF">2022-12-12T03:04:15Z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1EB0DC17DF464BDD995503A7C8322639</vt:lpwstr>
  </property>
</Properties>
</file>