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宋体" w:hAnsi="宋体"/>
          <w:szCs w:val="32"/>
          <w:highlight w:val="none"/>
        </w:rPr>
      </w:pPr>
      <w:r>
        <w:rPr>
          <w:rFonts w:hint="eastAsia" w:ascii="宋体" w:hAnsi="宋体"/>
          <w:szCs w:val="32"/>
          <w:highlight w:val="none"/>
        </w:rPr>
        <w:t>货物需求及技术要求</w:t>
      </w:r>
    </w:p>
    <w:p>
      <w:pPr>
        <w:spacing w:line="440" w:lineRule="exact"/>
        <w:ind w:firstLine="422" w:firstLineChars="200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为鼓励不同品牌的充分竞争，如某设备的某技术参数或要求属于个别品牌专有，则该技术参数及要求不具有限制性，投标供应商可对该参数或要求进行适当调整，但这种调整整体上要优于或相当于招标文件的相关要求，并说明调整理由，且该调整须经评委会审核认可。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bCs/>
          <w:sz w:val="24"/>
          <w:highlight w:val="none"/>
        </w:rPr>
      </w:pPr>
    </w:p>
    <w:p>
      <w:pPr>
        <w:widowControl/>
        <w:spacing w:line="440" w:lineRule="exact"/>
        <w:jc w:val="center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（包一）多功能高频电刀</w:t>
      </w:r>
    </w:p>
    <w:p>
      <w:pPr>
        <w:spacing w:line="440" w:lineRule="exact"/>
        <w:jc w:val="left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一、货物需求一览表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30"/>
        <w:gridCol w:w="6671"/>
        <w:gridCol w:w="65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货物名称</w:t>
            </w:r>
          </w:p>
        </w:tc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技术参数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多功能</w:t>
            </w:r>
          </w:p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高频电刀</w:t>
            </w:r>
          </w:p>
        </w:tc>
        <w:tc>
          <w:tcPr>
            <w:tcW w:w="6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1、具有单极切割、单极凝血和双极输出的功能</w:t>
            </w:r>
            <w:r>
              <w:rPr>
                <w:rFonts w:hint="eastAsia"/>
                <w:highlight w:val="none"/>
              </w:rPr>
              <w:t>，可同各种软、硬腔镜连接，</w:t>
            </w:r>
            <w:r>
              <w:rPr>
                <w:rFonts w:hint="eastAsia" w:ascii="宋体" w:hAnsi="宋体"/>
                <w:szCs w:val="21"/>
                <w:highlight w:val="none"/>
              </w:rPr>
              <w:t>为全科功能电刀，可满足临床各种手术的需求。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2、电源：220V±10%，具备自然冷却方式，可保证电刀长时间工作。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3、温度：存放在室温+10℃～+40℃。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4、相对空气温度：30-75%不凝结。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5、大气压力：700hPa～1060hPa。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6、电气安全性能符合：IEC601-1标准，电磁容性IEC 601-1-2]IEC 601-2-2。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7、电刀安全类型达到I类、CF型。（高频漏电流小于150mA，低频漏电流小于10uA）电刀有效输出功效比：≧95。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8、单极切割最大功率≥</w:t>
            </w:r>
            <w:r>
              <w:rPr>
                <w:highlight w:val="none"/>
              </w:rPr>
              <w:t>30</w:t>
            </w:r>
            <w:r>
              <w:rPr>
                <w:rFonts w:hint="eastAsia"/>
                <w:highlight w:val="none"/>
              </w:rPr>
              <w:t>0W。输出模式：隔离浮地式输出。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9、具备五种电切模式（纯切：300W、混切1：250W、混切2：200W、混切3：150W、内镜切：150W）和六种电凝模式（喷凝：120W、强凝：120W、柔凝：120W、双极凝宏模式：150W、双极标准凝：100W、双极精细凝：50W）。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★10、具有大血管阻断性宏双极功能，消火花技术的精密双极功能，双极输出功率≥150W。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11、全部微电脑控制、三路输出功率数字式显示</w:t>
            </w:r>
            <w:r>
              <w:rPr>
                <w:rFonts w:hint="eastAsia" w:ascii="宋体" w:hAnsi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highlight w:val="none"/>
              </w:rPr>
              <w:t>输出时伴有不同的声光指示。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12、具备“组织即时反馈技术”，机器可随组织阻抗变化适时调节输出功率，保证功率恒出。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13、具备负极板接触质量安全监测系统接触质量监测声光报警，并检测接触电阻变化，变化范围大于40%时自动停止输出，彻底杜绝负极板部位烫伤。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★14、双刀笔，双输出功能，同一手术，可连接两支刀笔，两个医生可同时同步进行切割凝血。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15、具有记忆9组模式、功率等参数，且可快速调用功能。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16、具有安全开机自检代码提示功能，当发现系统错误时能显示需要检查部位的错误代码，指明需要检修的部位。</w:t>
            </w:r>
          </w:p>
          <w:p>
            <w:pPr>
              <w:spacing w:line="440" w:lineRule="exact"/>
              <w:rPr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highlight w:val="none"/>
              </w:rPr>
              <w:t>17、具有不同品牌负极板阻抗值检测、初始以及设定功能。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18、功率输出采用CPU双闭环控制：一旦有功率输出偏离安全设定值，CPU控制回路将切断电刀输出，确保安全。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19、具有内镜切割功能：低功率输出，切凝交替，降低穿孔风险。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20、可配合腔镜使用。可以与膀胱镜、关节镜、胸腔镜、宫腔镜等相连，为其提供电切电凝来源。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21、双脚踏接口：手术过程中不必进行单极、双极模式转换。对一台手术中同时会用到单极切、凝和双极凝功能的手术来说提供了便捷。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22、需配置双极电凝钳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把，腔镜分离钳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把，举宫球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套。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说明：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b/>
                <w:bCs/>
                <w:highlight w:val="none"/>
                <w:lang w:val="zh-TW"/>
              </w:rPr>
            </w:pPr>
            <w:r>
              <w:rPr>
                <w:rFonts w:hint="eastAsia"/>
                <w:b/>
                <w:bCs/>
                <w:highlight w:val="none"/>
              </w:rPr>
              <w:t>1、投标供应商的投标文件必须标明所投货物的品牌与参数，保证原厂正品供货。“技术参数”中标“★”项的须提供技术证明文件之一（医疗器械注册证、医疗器械注册登记表、第三方检测报告、产品技术白皮书、产品使用说明书）予以证明，</w:t>
            </w:r>
            <w:r>
              <w:rPr>
                <w:rFonts w:hint="eastAsia"/>
                <w:b/>
                <w:bCs/>
                <w:highlight w:val="none"/>
                <w:lang w:val="zh-TW"/>
              </w:rPr>
              <w:t>未提供的视为不响应。</w:t>
            </w:r>
          </w:p>
          <w:p>
            <w:pPr>
              <w:spacing w:line="440" w:lineRule="exact"/>
              <w:ind w:firstLine="422" w:firstLineChars="200"/>
              <w:rPr>
                <w:rFonts w:hint="eastAsia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2、以上设备提供原装全新设备。所投货物的质保期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不低于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年，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</w:rPr>
              <w:t>若投标供应商承诺质保大于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hAnsi="宋体" w:cs="宋体"/>
                <w:b/>
                <w:bCs/>
                <w:szCs w:val="21"/>
                <w:highlight w:val="none"/>
              </w:rPr>
              <w:t xml:space="preserve">的，执行投标供应商承诺的质保期；自验收合格后算起，质保期内非人为原因造成的零部件更换费用、人工费用等均由中标供应商承担（报价时须考虑此项费用）。设备运行期间，如出现故障要求在2小时内响应，工程师于24小时内到达现场给出解决方案，若不能及时解决问题，提供备用机，质保期内每年免费提供4次维护保养；负责仪器设备的维修保养以及配套控制软件的更新与维护。    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3、投标供应商提供免费技术培训，保证使用人员正常操作设备的各种功能。</w:t>
            </w:r>
          </w:p>
          <w:p>
            <w:pPr>
              <w:spacing w:line="440" w:lineRule="exact"/>
              <w:ind w:firstLine="422" w:firstLineChars="200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4、所投标设备如存在数据接口，接口须全部免费开放，与招标人的信息系统兼容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，所有接口费用由中标供应商支付。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二、人员培训要求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货物安装、调试、验收合格后，中标供应商应对招标人的相关人员进行免费现场培训。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三、货物质量及售后服务要求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1、货物质量：中标供应商提供的货物必须是全新、原装、合格正品，完全符合国家规定的质量标准和厂方的标准。货物完好，配件齐全。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四、验收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中标供应商和招标人双方共同实施验收工作，结果和验收报告经双方确认后生效。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五、其他要求</w:t>
      </w:r>
    </w:p>
    <w:p>
      <w:pPr>
        <w:widowControl/>
        <w:spacing w:line="440" w:lineRule="exact"/>
        <w:ind w:firstLine="422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1、中标供应商需在中标后签订合同前提供所有响应参数的</w:t>
      </w:r>
      <w:r>
        <w:rPr>
          <w:rFonts w:hint="eastAsia"/>
          <w:b/>
          <w:bCs/>
          <w:highlight w:val="none"/>
        </w:rPr>
        <w:t>技术证明文件之一（医疗器械注册证、医疗器械注册登记表、第三方检测报告、产品技术白皮书、产品使用说明书）供招标人查验，未提供或发现虚假响应的，招标人有权取消其中标资格。</w:t>
      </w:r>
    </w:p>
    <w:p>
      <w:pPr>
        <w:widowControl/>
        <w:spacing w:line="440" w:lineRule="exact"/>
        <w:jc w:val="center"/>
        <w:rPr>
          <w:rFonts w:hint="eastAsia" w:ascii="宋体" w:hAnsi="宋体"/>
          <w:b/>
          <w:bCs/>
          <w:sz w:val="24"/>
          <w:highlight w:val="none"/>
        </w:rPr>
      </w:pPr>
    </w:p>
    <w:p>
      <w:pPr>
        <w:widowControl/>
        <w:spacing w:line="440" w:lineRule="exact"/>
        <w:jc w:val="center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（包二）多频振动排痰机、医用电脑控温仪</w:t>
      </w:r>
    </w:p>
    <w:p>
      <w:pPr>
        <w:spacing w:line="440" w:lineRule="exact"/>
        <w:jc w:val="left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一、货物需求一览表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64"/>
        <w:gridCol w:w="6737"/>
        <w:gridCol w:w="65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货物名称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技术参数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多频振动排痰机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1、设备用途：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多频振动排痰机采用机械振动的传输方式，运用其特有的振动功能</w:t>
            </w:r>
            <w:r>
              <w:rPr>
                <w:rFonts w:hint="eastAsia" w:ascii="宋体" w:hAnsi="宋体"/>
                <w:szCs w:val="21"/>
                <w:highlight w:val="none"/>
              </w:rPr>
              <w:t>，通过模拟人工手法叩击、震颤和挤推的工作方式，协助术后或体弱患者增强排除呼吸系统痰液等分泌物的能力，改善瘀滞的肺部血液循环状况，预防或减少呼吸系统并发症的发生。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2、结构形式: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单路成人落地推车式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外形采用ABS工程塑料机箱，采用一次出模成型，流线型外观设计。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显示方式:全电脑控制液晶大屏幕显示，中文菜单操作。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特有的内置储备机箱设计，方便放置病例或相关治疗配件。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3、操作方式</w:t>
            </w:r>
          </w:p>
          <w:p>
            <w:pPr>
              <w:spacing w:line="440" w:lineRule="exact"/>
              <w:ind w:firstLine="211" w:firstLineChars="1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/>
                <w:szCs w:val="21"/>
                <w:highlight w:val="none"/>
              </w:rPr>
              <w:t>采用一键飞梭的旋钮操作方式。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分为手动操作模式和自动操作模式。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手动模式可根据患者需求设定治疗功率。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四种自动程序模式P1、 P2、 P3、 P4, 分别为轻柔、标准、加强、超强模式。自动程序模式直接由电脑自动控制的，无需人为去改变频率就能为使用者提供可选择的各种组合频率。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4、治疗头及软轴结构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每路输出可配置5个治疗头。根据患者体征姿位选择不同的治疗头。</w:t>
            </w:r>
          </w:p>
          <w:p>
            <w:pPr>
              <w:spacing w:line="440" w:lineRule="exact"/>
              <w:ind w:firstLine="211" w:firstLineChars="1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/>
                <w:szCs w:val="21"/>
                <w:highlight w:val="none"/>
              </w:rPr>
              <w:t>7mm超大的震动幅度，治疗效果更加突出。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动力头外径尺寸：成人型传动动力头直径90mm±2mm。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操作过程中手柄可以360度自由转动，使医护人员操作灵活方便,软轴不易损坏。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治疗软轴可以自由插拔，方便更换。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传动软轴长度1.8m。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5、电机：</w:t>
            </w:r>
            <w:r>
              <w:rPr>
                <w:rFonts w:hint="eastAsia" w:ascii="宋体" w:hAnsi="宋体"/>
                <w:szCs w:val="21"/>
                <w:highlight w:val="none"/>
              </w:rPr>
              <w:t>采用稀土永磁低压直流电机，动力强劲，治疗过程中动力无衰减、无卡滞。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6、安全电压</w:t>
            </w:r>
          </w:p>
          <w:p>
            <w:pPr>
              <w:spacing w:line="440" w:lineRule="exact"/>
              <w:ind w:firstLine="211" w:firstLineChars="1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/>
                <w:szCs w:val="21"/>
                <w:highlight w:val="none"/>
              </w:rPr>
              <w:t>特有24V安全操作电压，使产品使用更安全。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7、输入输出功率</w:t>
            </w:r>
          </w:p>
          <w:p>
            <w:pPr>
              <w:spacing w:line="440" w:lineRule="exact"/>
              <w:ind w:firstLine="211" w:firstLineChars="1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/>
                <w:szCs w:val="21"/>
                <w:highlight w:val="none"/>
              </w:rPr>
              <w:t>采用伺服电路设计，使设定振动频率与动力头实际输出振动频率保持一致，无功率衰减。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8、治疗头的尺寸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成人治疗头配置5个。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长方形海绵头1个：长240mm±5mm，宽70mm±5mm；特定型，肋部、肩部等治疗或护理。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圆形平面橡胶头1个：直径130mm±5mm；增强型，治疗用。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圆形海绵头1个：直径90mm±5mm；标准型，治疗或护理用。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圆形海绵头1个：直径78mm±5mm；柔和型，护理或儿童专用。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圆形海绵头1个：直径68mm±5mm；柔和型，儿童专用。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9、频率范围：</w:t>
            </w:r>
            <w:r>
              <w:rPr>
                <w:rFonts w:hint="eastAsia" w:ascii="宋体" w:hAnsi="宋体"/>
                <w:szCs w:val="21"/>
                <w:highlight w:val="none"/>
              </w:rPr>
              <w:t>成人10Hz-60Hz，频率可调，步距1Hz，误差为±20%。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10、定时时间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手动模式定时时间:1min-60min，步距为1min，误差为±1%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自动模式定时时间分四档:5min、10min、15min、20min，误差为±1%。</w:t>
            </w:r>
          </w:p>
          <w:p>
            <w:pPr>
              <w:spacing w:line="440" w:lineRule="exact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11、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具有电磁兼容性，对周围环境不会产生电磁干扰，通过全项检验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（提供第三方检测报告）。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医用电脑控温仪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1、设备用途:</w:t>
            </w:r>
            <w:r>
              <w:rPr>
                <w:rFonts w:hint="eastAsia" w:ascii="宋体" w:hAnsi="宋体"/>
                <w:szCs w:val="21"/>
                <w:highlight w:val="none"/>
              </w:rPr>
              <w:t>广泛应用于脑炎、脑水肿、脑出血、脑外伤、颅高压心肺复苏及高热惊厥、中枢性高热患者，进行物理降温。特别是对颅脑损伤及术前、术后亚低温治疗、以及脑内出血、喉部患者、扁桃体发炎及术后的康复和对顽固性高烧,禁忌使用药物的患者进行亚低温治疗，有效提高患者生存率。</w:t>
            </w: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2、制冷系统：</w:t>
            </w:r>
            <w:r>
              <w:rPr>
                <w:rFonts w:hint="eastAsia" w:ascii="宋体" w:hAnsi="宋体"/>
                <w:szCs w:val="21"/>
                <w:highlight w:val="none"/>
              </w:rPr>
              <w:t>旋转式高分倍医用压缩机二次水循环无氟环保制冷技术。</w:t>
            </w: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3、系统结构：</w:t>
            </w:r>
            <w:r>
              <w:rPr>
                <w:rFonts w:hint="eastAsia" w:ascii="宋体" w:hAnsi="宋体"/>
                <w:szCs w:val="21"/>
                <w:highlight w:val="none"/>
              </w:rPr>
              <w:t>双路输出，双温控制，可降温毯、降温帽同时使用。</w:t>
            </w: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4、水温温控范围：</w:t>
            </w:r>
            <w:r>
              <w:rPr>
                <w:rFonts w:hint="eastAsia" w:ascii="宋体" w:hAnsi="宋体"/>
                <w:szCs w:val="21"/>
                <w:highlight w:val="none"/>
              </w:rPr>
              <w:t>-4℃～30℃任意可调，降温速度每分钟≥2℃；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毯帽温度设定范围：</w:t>
            </w:r>
            <w:r>
              <w:rPr>
                <w:rFonts w:hint="eastAsia" w:ascii="宋体" w:hAnsi="宋体"/>
                <w:szCs w:val="21"/>
                <w:highlight w:val="none"/>
              </w:rPr>
              <w:t>-2℃～30℃任意可调，降温速度每分钟≥2℃。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5、毯面温度：</w:t>
            </w:r>
            <w:r>
              <w:rPr>
                <w:rFonts w:hint="eastAsia" w:ascii="宋体" w:hAnsi="宋体"/>
                <w:szCs w:val="21"/>
                <w:highlight w:val="none"/>
              </w:rPr>
              <w:t>降温毯和降温帽的表面温度围绕水温的±1℃显示(表面温度不均匀度：≤2℃)。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6、体温设定范围：</w:t>
            </w:r>
            <w:r>
              <w:rPr>
                <w:rFonts w:hint="eastAsia" w:ascii="宋体" w:hAnsi="宋体"/>
                <w:szCs w:val="21"/>
                <w:highlight w:val="none"/>
              </w:rPr>
              <w:t>30℃～40℃。</w:t>
            </w: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7、显示界面：</w:t>
            </w:r>
            <w:r>
              <w:rPr>
                <w:rFonts w:hint="eastAsia" w:ascii="宋体" w:hAnsi="宋体"/>
                <w:szCs w:val="21"/>
                <w:highlight w:val="none"/>
              </w:rPr>
              <w:t>薄膜按键式控制面板,液晶显示屏（液晶尺寸240*128），LED背光。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8、系统控制方式：</w:t>
            </w:r>
            <w:r>
              <w:rPr>
                <w:rFonts w:hint="eastAsia" w:ascii="宋体" w:hAnsi="宋体"/>
                <w:szCs w:val="21"/>
                <w:highlight w:val="none"/>
              </w:rPr>
              <w:t>手动控制模式和自动控制模式，即毯帽监测模式和人体体温监测模式。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自动控制模式体温设定范围</w:t>
            </w:r>
            <w:r>
              <w:rPr>
                <w:rFonts w:hint="eastAsia" w:ascii="宋体" w:hAnsi="宋体"/>
                <w:szCs w:val="21"/>
                <w:highlight w:val="none"/>
              </w:rPr>
              <w:t>：31℃-37℃，五种体温控制档，分别为：31±0.5℃（中度低温）、33±0.5℃（颅脑降温）、35±0.5℃（发热降温）、37±0.5℃（防褥疮护理）以及自定义模式（医嘱）。</w:t>
            </w: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9、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内置传感器监测毯帽温度，使用安全，方便。 </w:t>
            </w: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10、</w:t>
            </w:r>
            <w:r>
              <w:rPr>
                <w:rFonts w:hint="eastAsia" w:ascii="宋体" w:hAnsi="宋体"/>
                <w:szCs w:val="21"/>
                <w:highlight w:val="none"/>
              </w:rPr>
              <w:t>腋温和肛温传感器可任意选择。</w:t>
            </w:r>
          </w:p>
          <w:p>
            <w:pPr>
              <w:spacing w:line="44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11、</w:t>
            </w:r>
            <w:r>
              <w:rPr>
                <w:rFonts w:hint="eastAsia" w:ascii="宋体" w:hAnsi="宋体"/>
                <w:szCs w:val="21"/>
                <w:highlight w:val="none"/>
              </w:rPr>
              <w:t>采用自锁快速接头，使用操作更方便、简捷、移动自如，防漏。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12、毯帽材质</w:t>
            </w:r>
            <w:r>
              <w:rPr>
                <w:rFonts w:hint="eastAsia" w:ascii="宋体" w:hAnsi="宋体"/>
                <w:szCs w:val="21"/>
                <w:highlight w:val="none"/>
              </w:rPr>
              <w:t>：TPU（热塑性聚氨酯）材料，耐臭氧，耐低温，耐酸碱腐蚀；蜂窝状设计，水循环通畅。表面柔软，可任意折叠、卷曲、清洗、消毒，并配有同规格特定毯套和帽套，易拆洗 。可选配置玻璃钢硬帽，铜质内层，3cm内置保温层，降温效果明显。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毯子作用面承载压力：</w:t>
            </w:r>
            <w:r>
              <w:rPr>
                <w:rFonts w:hint="eastAsia" w:ascii="宋体" w:hAnsi="宋体"/>
                <w:szCs w:val="21"/>
                <w:highlight w:val="none"/>
              </w:rPr>
              <w:t>≥135kg水循环正常。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13、安全报警：</w:t>
            </w:r>
            <w:r>
              <w:rPr>
                <w:rFonts w:hint="eastAsia" w:ascii="宋体" w:hAnsi="宋体"/>
                <w:szCs w:val="21"/>
                <w:highlight w:val="none"/>
              </w:rPr>
              <w:t>缺水故障报警，水位超限报警，体温传感器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低于下限</w:t>
            </w:r>
            <w:r>
              <w:rPr>
                <w:rFonts w:hint="eastAsia" w:ascii="宋体" w:hAnsi="宋体"/>
                <w:szCs w:val="21"/>
                <w:highlight w:val="none"/>
              </w:rPr>
              <w:t>报警。</w:t>
            </w:r>
          </w:p>
          <w:p>
            <w:pPr>
              <w:spacing w:line="440" w:lineRule="exact"/>
              <w:rPr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具有电磁兼容性，对周围环境不会产生电磁干扰，通过全项检验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（提供第三方检测报告）。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、配置：</w:t>
            </w:r>
            <w:r>
              <w:rPr>
                <w:rFonts w:hint="eastAsia" w:ascii="宋体" w:hAnsi="宋体"/>
                <w:szCs w:val="21"/>
                <w:highlight w:val="none"/>
              </w:rPr>
              <w:t>主机1台，降温毯1条，降温帽1个，人体探头2个。（也可以配置双毯、双帽或者冰敷）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说明：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b/>
                <w:bCs/>
                <w:highlight w:val="none"/>
                <w:lang w:val="zh-TW"/>
              </w:rPr>
            </w:pPr>
            <w:r>
              <w:rPr>
                <w:rFonts w:hint="eastAsia"/>
                <w:b/>
                <w:bCs/>
                <w:highlight w:val="none"/>
              </w:rPr>
              <w:t>1、投标供应商的投标文件必须标明所投货物的品牌与参数，保证原厂正品供货。“技术参数”中标“★”项的须提供技术证明文件之一（医疗器械注册证、医疗器械注册登记表、第三方检测报告、产品技术白皮书、产品使用说明书）予以证明，</w:t>
            </w:r>
            <w:r>
              <w:rPr>
                <w:rFonts w:hint="eastAsia"/>
                <w:b/>
                <w:bCs/>
                <w:highlight w:val="none"/>
                <w:lang w:val="zh-TW"/>
              </w:rPr>
              <w:t>未提供的视为不响应。</w:t>
            </w:r>
          </w:p>
          <w:p>
            <w:pPr>
              <w:spacing w:line="440" w:lineRule="exact"/>
              <w:ind w:firstLine="422" w:firstLineChars="200"/>
              <w:rPr>
                <w:rFonts w:hint="eastAsia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2、以上设备提供原装全新设备。所投货物的质保期不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低于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年，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</w:rPr>
              <w:t>若投标供应商承诺质保大于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hAnsi="宋体" w:cs="宋体"/>
                <w:b/>
                <w:bCs/>
                <w:szCs w:val="21"/>
                <w:highlight w:val="none"/>
              </w:rPr>
              <w:t xml:space="preserve">的，执行投标供应商承诺的质保期；自验收合格后算起，质保期内非人为原因造成的零部件更换费用、人工费用等均由中标供应商承担（报价时须考虑此项费用）。设备运行期间，如出现故障要求在2小时内响应，工程师于24小时内到达现场给出解决方案，若不能及时解决问题，提供备用机，质保期内每年免费提供4次维护保养；负责仪器设备的维修保养以及配套控制软件的更新与维护。    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3、投标供应商提供免费技术培训，保证使用人员正常操作设备的各种功能。</w:t>
            </w:r>
          </w:p>
          <w:p>
            <w:pPr>
              <w:spacing w:line="440" w:lineRule="exact"/>
              <w:ind w:firstLine="422" w:firstLineChars="200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4、所投标设备如存在数据接口，接口须全部免费开放，与招标人的信息系统兼容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，所有接口费用由中标供应商支付。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二、人员培训要求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货物安装、调试、验收合格后，中标供应商应对招标人的相关人员进行免费现场培训。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三、货物质量及售后服务要求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1、货物质量：中标供应商提供的货物必须是全新、原装、合格正品，完全符合国家规定的质量标准和厂方的标准。货物完好，配件齐全。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四、验收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中标供应商和招标人双方共同实施验收工作，结果和验收报告经双方确认后生效。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五、其他要求</w:t>
      </w:r>
    </w:p>
    <w:p>
      <w:pPr>
        <w:widowControl/>
        <w:spacing w:line="440" w:lineRule="exact"/>
        <w:ind w:firstLine="422" w:firstLineChars="200"/>
        <w:jc w:val="left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1、中标供应商需在中标后签订合同前提供所有响应参数的</w:t>
      </w:r>
      <w:r>
        <w:rPr>
          <w:rFonts w:hint="eastAsia"/>
          <w:b/>
          <w:bCs/>
          <w:highlight w:val="none"/>
        </w:rPr>
        <w:t>技术证明文件之一（医疗器械注册证、医疗器械注册登记表、第三方检测报告、产品技术白皮书、产品使用说明书）供招标人查验，未提供或发现虚假响应的，招标人有权取消其中标资格。</w:t>
      </w:r>
    </w:p>
    <w:p>
      <w:pPr>
        <w:pStyle w:val="2"/>
        <w:rPr>
          <w:rFonts w:hint="eastAsia"/>
          <w:b/>
          <w:bCs/>
          <w:highlight w:val="none"/>
          <w:lang w:val="en-US" w:eastAsia="zh-CN"/>
        </w:rPr>
      </w:pPr>
    </w:p>
    <w:p>
      <w:pPr>
        <w:rPr>
          <w:rFonts w:hint="eastAsia"/>
          <w:highlight w:val="none"/>
        </w:rPr>
      </w:pPr>
    </w:p>
    <w:p>
      <w:pPr>
        <w:widowControl/>
        <w:spacing w:line="440" w:lineRule="exact"/>
        <w:jc w:val="center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（包三）成人输尿管肾镜、经皮肾镜、双极电切内窥镜</w:t>
      </w:r>
    </w:p>
    <w:p>
      <w:pPr>
        <w:spacing w:line="440" w:lineRule="exact"/>
        <w:jc w:val="left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一、货物需求一览表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64"/>
        <w:gridCol w:w="6737"/>
        <w:gridCol w:w="65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货物名称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技术参数要求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成人输尿管肾镜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1、平面图像，≥3万像素，超广角，视野角度：12°。</w:t>
            </w:r>
          </w:p>
          <w:p>
            <w:pPr>
              <w:wordWrap w:val="0"/>
              <w:spacing w:line="440" w:lineRule="exact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2、镜管插入头部直径8/9.8Fr，辅助器械最大尺寸可容纳1*5Fr/2*3Fr，工作长度≥425mm。</w:t>
            </w:r>
          </w:p>
          <w:p>
            <w:pPr>
              <w:wordWrap w:val="0"/>
              <w:spacing w:line="440" w:lineRule="exact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3、支持低温等离子消毒方式。</w:t>
            </w:r>
          </w:p>
          <w:p>
            <w:pPr>
              <w:wordWrap w:val="0"/>
              <w:spacing w:line="440" w:lineRule="exact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4、一体化镜桥，激光焊接密封，保证密封性。</w:t>
            </w:r>
          </w:p>
          <w:p>
            <w:pPr>
              <w:wordWrap w:val="0"/>
              <w:spacing w:line="44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5、蓝宝石镜头，镜内采用进口传像束，可承受术中操作范围的弯曲需求。</w:t>
            </w:r>
          </w:p>
          <w:p>
            <w:pPr>
              <w:wordWrap w:val="0"/>
              <w:spacing w:line="44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6、双水阀大通道结构，双重阻水设计。</w:t>
            </w:r>
          </w:p>
          <w:p>
            <w:pPr>
              <w:wordWrap w:val="0"/>
              <w:spacing w:line="44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、配置需求：</w:t>
            </w:r>
          </w:p>
          <w:tbl>
            <w:tblPr>
              <w:tblStyle w:val="4"/>
              <w:tblW w:w="5043" w:type="dxa"/>
              <w:tblInd w:w="12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3069"/>
              <w:gridCol w:w="12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30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名称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成人输尿管镜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一根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密封帽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10个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3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薄膜阀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10个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4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镜架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配套金属消毒盒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6</w:t>
                  </w:r>
                </w:p>
              </w:tc>
              <w:tc>
                <w:tcPr>
                  <w:tcW w:w="30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（成人）输尿管镜异物钳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7</w:t>
                  </w:r>
                </w:p>
              </w:tc>
              <w:tc>
                <w:tcPr>
                  <w:tcW w:w="30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（成人）输尿管镜活检钳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1个</w:t>
                  </w:r>
                </w:p>
              </w:tc>
            </w:tr>
          </w:tbl>
          <w:p>
            <w:pPr>
              <w:wordWrap w:val="0"/>
              <w:spacing w:line="440" w:lineRule="exact"/>
              <w:jc w:val="left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经皮肾镜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1、头部最细端外径：≤Φ15mm。 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2、最大插入部外径：≤Φ15mm。   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3、长度：270mm。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4、视向角：0°。      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5、视场角：75°。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6、器械通道：≥1.6mm。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7、景深范围：3～20mm。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8、工作长度：330mm。</w:t>
            </w:r>
          </w:p>
          <w:p>
            <w:pPr>
              <w:spacing w:line="440" w:lineRule="exact"/>
              <w:ind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9、配置需求：</w:t>
            </w:r>
          </w:p>
          <w:tbl>
            <w:tblPr>
              <w:tblStyle w:val="4"/>
              <w:tblW w:w="4800" w:type="dxa"/>
              <w:tblInd w:w="12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1443"/>
              <w:gridCol w:w="1895"/>
              <w:gridCol w:w="76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14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名称</w:t>
                  </w:r>
                </w:p>
              </w:tc>
              <w:tc>
                <w:tcPr>
                  <w:tcW w:w="18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规  格</w:t>
                  </w:r>
                </w:p>
              </w:tc>
              <w:tc>
                <w:tcPr>
                  <w:tcW w:w="7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输尿管镜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F18×270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镜鞘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F21×210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三通接头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　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</w:rPr>
                    <w:t>导光束光插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密封帽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　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10只</w:t>
                  </w:r>
                </w:p>
              </w:tc>
            </w:tr>
          </w:tbl>
          <w:p>
            <w:pPr>
              <w:spacing w:line="440" w:lineRule="exact"/>
              <w:ind w:firstLine="210" w:firstLineChars="100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双极电切内窥镜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1、内窥镜镜体全部采用进口不锈钢管。 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2、窥镜采用德国光学玻璃、光钎、光锥。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采用柱状透镜专利技术，图像清晰、视场明亮。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4、带有方向标，蓝宝石镜头，永不磨损。</w:t>
            </w:r>
          </w:p>
          <w:p>
            <w:pPr>
              <w:spacing w:line="440" w:lineRule="exact"/>
              <w:ind w:left="210" w:left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5、采用耐高温高强度陶瓷。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/>
                <w:highlight w:val="none"/>
              </w:rPr>
              <w:t>6、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外鞘大量精细的外鞘出水孔，更有利于保证术中视野清晰。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/>
                <w:highlight w:val="none"/>
              </w:rPr>
              <w:t>7、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主动式、被动式两种结构任选，操作器采用无电源方式，电极无需与操作器串联。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8、不锈钢水阀，彻底根除了水阀维护繁琐，易损坏的弊病。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★</w:t>
            </w:r>
            <w:r>
              <w:rPr>
                <w:rFonts w:hint="eastAsia"/>
                <w:highlight w:val="none"/>
              </w:rPr>
              <w:t>9、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外鞘保持静止时操作器、内窥镜、内鞘和手术电极可360°旋转，可持续灌流。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10、内窥镜可承受低温等离子消毒。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11、可选购耐高温高压消毒内窥镜。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12、镜体外径：Ø4mm。            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13、镜体长度：302mm。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14、视向角：30°。            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15、视场角：60°。</w:t>
            </w:r>
          </w:p>
          <w:p>
            <w:pPr>
              <w:spacing w:line="440" w:lineRule="exact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★16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、角分辨力：2.97C/（°）。    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17、有效景深：3-50mm。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18、目镜罩外径：Ø32mm。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19、光缆接头外径：Ø10mm。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20、最大插入部外径：≤Ø8.8mm。                  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21、工作长度： 180mm。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22、手术电极行程：26mm。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23、光缆：配有转换接头可与WOLF、STORZ光源连接。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24、光缆接头可与STORZ、OLYMPUS、WOLF、ACMI光缆连接。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25、与医用电气设备互连使用的安全要求应全项符合GB9706.1、GB9706.19的要求。</w:t>
            </w:r>
          </w:p>
          <w:p>
            <w:pPr>
              <w:spacing w:line="440" w:lineRule="exact"/>
              <w:ind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26、双极电切镜配置需求：</w:t>
            </w:r>
          </w:p>
          <w:tbl>
            <w:tblPr>
              <w:tblStyle w:val="4"/>
              <w:tblW w:w="6189" w:type="dxa"/>
              <w:tblInd w:w="12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1825"/>
              <w:gridCol w:w="2520"/>
              <w:gridCol w:w="1146"/>
            </w:tblGrid>
            <w:tr>
              <w:trPr>
                <w:trHeight w:val="95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名称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30°内窥镜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Φ4X302mm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操作器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——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3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外鞘套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26FrX180mm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内鞘套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24FrX190mm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69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闭孔器(内鞘套)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单管阀座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——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6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冲洗接头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——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9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7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吸引器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——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9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艾力克接头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8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进水接门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——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9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清洁杆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Φ3X340mm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10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光缆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Φ4X2m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11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环状电极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12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环状电极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13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针状电极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135°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14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针状电极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15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铲状电极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  <w:tr>
              <w:trPr>
                <w:trHeight w:val="368" w:hRule="atLeast"/>
              </w:trPr>
              <w:tc>
                <w:tcPr>
                  <w:tcW w:w="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Cs w:val="21"/>
                      <w:highlight w:val="none"/>
                    </w:rPr>
                    <w:t>16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可视操作器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widowControl/>
                    <w:spacing w:line="44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1</w:t>
                  </w:r>
                </w:p>
              </w:tc>
            </w:tr>
          </w:tbl>
          <w:p>
            <w:pPr>
              <w:spacing w:line="440" w:lineRule="exact"/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说明：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b/>
                <w:bCs/>
                <w:highlight w:val="none"/>
                <w:lang w:val="zh-TW"/>
              </w:rPr>
            </w:pPr>
            <w:r>
              <w:rPr>
                <w:rFonts w:hint="eastAsia"/>
                <w:b/>
                <w:bCs/>
                <w:highlight w:val="none"/>
              </w:rPr>
              <w:t>1、投标供应商的投标文件必须标明所投货物的品牌与参数，保证原厂正品供货。“技术参数”中标“★”项的须提供技术证明文件之一（医疗器械注册证、医疗器械注册登记表、第三方检测报告、产品技术白皮书、产品使用说明书）予以证明，</w:t>
            </w:r>
            <w:r>
              <w:rPr>
                <w:rFonts w:hint="eastAsia"/>
                <w:b/>
                <w:bCs/>
                <w:highlight w:val="none"/>
                <w:lang w:val="zh-TW"/>
              </w:rPr>
              <w:t>未提供的视为不响应。</w:t>
            </w:r>
          </w:p>
          <w:p>
            <w:pPr>
              <w:spacing w:line="440" w:lineRule="exact"/>
              <w:ind w:firstLine="422" w:firstLineChars="200"/>
              <w:rPr>
                <w:rFonts w:hint="eastAsia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2、以上设备提供原装全新设备。所投货物的质保期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不低于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年，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</w:rPr>
              <w:t>若投标供应商承诺质保大于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hAnsi="宋体" w:cs="宋体"/>
                <w:b/>
                <w:bCs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hAnsi="宋体" w:cs="宋体"/>
                <w:b/>
                <w:bCs/>
                <w:szCs w:val="21"/>
                <w:highlight w:val="none"/>
              </w:rPr>
              <w:t xml:space="preserve">的，执行投标供应商承诺的质保期；自验收合格后算起，质保期内非人为原因造成的零部件更换费用、人工费用等均由中标供应商承担（报价时须考虑此项费用）。设备运行期间，如出现故障要求在2小时内响应，工程师于24小时内到达现场给出解决方案，若不能及时解决问题，提供备用机，质保期内每年免费提供4次维护保养；负责仪器设备的维修保养以及配套控制软件的更新与维护。    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3、投标供应商提供免费技术培训，保证使用人员正常操作设备的各种功能。</w:t>
            </w:r>
          </w:p>
          <w:p>
            <w:pPr>
              <w:spacing w:line="440" w:lineRule="exact"/>
              <w:ind w:firstLine="422" w:firstLineChars="200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4、所投标设备如存在数据接口，接口须全部免费开放，与招标人的信息系统兼容</w:t>
            </w:r>
            <w:r>
              <w:rPr>
                <w:rFonts w:hint="eastAsia"/>
                <w:b/>
                <w:bCs/>
                <w:color w:val="000000"/>
                <w:highlight w:val="none"/>
              </w:rPr>
              <w:t>，所有接口费用由中标供应商支付。</w:t>
            </w:r>
          </w:p>
        </w:tc>
      </w:tr>
    </w:tbl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二、人员培训要求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货物安装、调试、验收合格后，中标供应商应对招标人的相关人员进行免费现场培训。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三、货物质量及售后服务要求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1、货物质量：中标供应商提供的货物必须是全新、原装、合格正品，完全符合国家规定的质量标准和厂方的标准。货物完好，配件齐全。</w:t>
      </w:r>
    </w:p>
    <w:p>
      <w:pPr>
        <w:widowControl/>
        <w:spacing w:line="440" w:lineRule="exact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2、保修及售后服务：依据商品的保修条款及售后服务条款，提供原厂质保，质保期按照国家规定，且不低于所供品牌向用户承诺的质保期限。招标文件另有约定的从其约定。质保期从货物验收合格后算起。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四、验收</w:t>
      </w:r>
    </w:p>
    <w:p>
      <w:pPr>
        <w:widowControl/>
        <w:spacing w:line="440" w:lineRule="exact"/>
        <w:ind w:firstLine="420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中标供应商和招标人双方共同实施验收工作，结果和验收报告经双方确认后生效。</w:t>
      </w:r>
    </w:p>
    <w:p>
      <w:pPr>
        <w:widowControl/>
        <w:spacing w:line="440" w:lineRule="exact"/>
        <w:jc w:val="left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五、其他要求</w:t>
      </w:r>
    </w:p>
    <w:p>
      <w:pPr>
        <w:widowControl/>
        <w:spacing w:line="440" w:lineRule="exact"/>
        <w:ind w:firstLine="422" w:firstLineChars="200"/>
        <w:jc w:val="left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1、中标供应商需在中标后签订合同前提供所有响应参数的</w:t>
      </w:r>
      <w:r>
        <w:rPr>
          <w:rFonts w:hint="eastAsia"/>
          <w:b/>
          <w:bCs/>
          <w:highlight w:val="none"/>
        </w:rPr>
        <w:t>技术证明文件之一（医疗器械注册证、医疗器械注册登记表、第三方检测报告、产品技术白皮书、产品使用说明书）供招标人查验，未提供或发现虚假响应的，招标人有权取消其中标资格。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0A854"/>
    <w:multiLevelType w:val="singleLevel"/>
    <w:tmpl w:val="3530A85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0FBF788F"/>
    <w:rsid w:val="0FBF788F"/>
    <w:rsid w:val="541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6117</Words>
  <Characters>6576</Characters>
  <Lines>0</Lines>
  <Paragraphs>0</Paragraphs>
  <TotalTime>6</TotalTime>
  <ScaleCrop>false</ScaleCrop>
  <LinksUpToDate>false</LinksUpToDate>
  <CharactersWithSpaces>6709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2022-10-11T16:08:00Z</dcterms:created>
  <dc:creator>兔子爱上了窝边草</dc:creator>
  <cp:lastModifiedBy>无名</cp:lastModifiedBy>
  <dcterms:modified xsi:type="dcterms:W3CDTF">2022-10-13T02:57:34Z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87F56850D47C46D385A5C055A4FC4DAA</vt:lpwstr>
  </property>
</Properties>
</file>