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jc w:val="both"/>
        <w:rPr>
          <w:rFonts w:hint="eastAsia" w:ascii="宋体" w:hAnsi="宋体" w:eastAsia="宋体"/>
          <w:szCs w:val="32"/>
          <w:lang w:val="en-US" w:eastAsia="zh-CN"/>
        </w:rPr>
      </w:pPr>
      <w:r>
        <w:rPr>
          <w:rFonts w:hint="eastAsia" w:ascii="宋体" w:hAnsi="宋体"/>
          <w:szCs w:val="32"/>
          <w:lang w:val="en-US" w:eastAsia="zh-CN"/>
        </w:rPr>
        <w:t>附件：</w:t>
      </w:r>
    </w:p>
    <w:p>
      <w:pPr>
        <w:widowControl/>
        <w:spacing w:line="420" w:lineRule="exact"/>
        <w:jc w:val="left"/>
        <w:rPr>
          <w:rFonts w:hint="eastAsia" w:ascii="宋体" w:hAnsi="宋体"/>
          <w:b/>
          <w:bCs/>
          <w:sz w:val="24"/>
        </w:rPr>
      </w:pPr>
      <w:bookmarkStart w:id="0" w:name="_GoBack"/>
      <w:bookmarkEnd w:id="0"/>
      <w:r>
        <w:rPr>
          <w:rFonts w:hint="eastAsia" w:ascii="宋体" w:hAnsi="宋体"/>
          <w:b/>
          <w:bCs/>
          <w:sz w:val="24"/>
        </w:rPr>
        <w:t>货物需求一览表</w:t>
      </w:r>
    </w:p>
    <w:tbl>
      <w:tblPr>
        <w:tblStyle w:val="8"/>
        <w:tblW w:w="4531" w:type="pct"/>
        <w:jc w:val="center"/>
        <w:tblLayout w:type="autofit"/>
        <w:tblCellMar>
          <w:top w:w="0" w:type="dxa"/>
          <w:left w:w="108" w:type="dxa"/>
          <w:bottom w:w="0" w:type="dxa"/>
          <w:right w:w="108" w:type="dxa"/>
        </w:tblCellMar>
      </w:tblPr>
      <w:tblGrid>
        <w:gridCol w:w="724"/>
        <w:gridCol w:w="1686"/>
        <w:gridCol w:w="1686"/>
        <w:gridCol w:w="823"/>
        <w:gridCol w:w="689"/>
        <w:gridCol w:w="2115"/>
      </w:tblGrid>
      <w:tr>
        <w:tblPrEx>
          <w:tblCellMar>
            <w:top w:w="0" w:type="dxa"/>
            <w:left w:w="108" w:type="dxa"/>
            <w:bottom w:w="0" w:type="dxa"/>
            <w:right w:w="108" w:type="dxa"/>
          </w:tblCellMar>
        </w:tblPrEx>
        <w:trPr>
          <w:trHeight w:val="390" w:hRule="atLeast"/>
          <w:jc w:val="center"/>
        </w:trPr>
        <w:tc>
          <w:tcPr>
            <w:tcW w:w="533" w:type="pct"/>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序号</w:t>
            </w:r>
          </w:p>
        </w:tc>
        <w:tc>
          <w:tcPr>
            <w:tcW w:w="1036" w:type="pct"/>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货物名称</w:t>
            </w:r>
          </w:p>
        </w:tc>
        <w:tc>
          <w:tcPr>
            <w:tcW w:w="1124" w:type="pct"/>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规格及型号</w:t>
            </w:r>
          </w:p>
        </w:tc>
        <w:tc>
          <w:tcPr>
            <w:tcW w:w="629" w:type="pct"/>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单位</w:t>
            </w:r>
          </w:p>
        </w:tc>
        <w:tc>
          <w:tcPr>
            <w:tcW w:w="510" w:type="pct"/>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数量</w:t>
            </w:r>
          </w:p>
        </w:tc>
        <w:tc>
          <w:tcPr>
            <w:tcW w:w="1165" w:type="pct"/>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szCs w:val="21"/>
              </w:rPr>
              <w:t>单项最高限价（元）</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工作手册</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大号皮封面</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工作手册</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小号牛皮纸封面</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会议记录</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牛皮纸</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4</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会议记录</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皮封面</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练习本</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安教</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软面抄</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玛丽60页</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软面抄</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玛丽40页</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圆珠笔</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得力</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圆珠笔</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小豆芽</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0.5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橡皮</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块</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橡皮</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块</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0.8</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浆糊</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瓶</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3</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胶水</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固体胶</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铅笔</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中华2B</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铅笔</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中华HB</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电池</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南孚1号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电池</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三五2号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电池</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南孚5号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电池</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南孚7号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回形针</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得力</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合</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大头针</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得力</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合</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订书钉</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得力</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合</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沾水缸</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得力</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4</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铁夹</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3</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铁夹</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瓶胆</w:t>
            </w:r>
          </w:p>
        </w:tc>
        <w:tc>
          <w:tcPr>
            <w:tcW w:w="1124"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瓶壳</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塑料</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瓶塞</w:t>
            </w:r>
          </w:p>
        </w:tc>
        <w:tc>
          <w:tcPr>
            <w:tcW w:w="1124"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全套水瓶</w:t>
            </w:r>
          </w:p>
        </w:tc>
        <w:tc>
          <w:tcPr>
            <w:tcW w:w="1124"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蚊烟</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五盘装</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盒</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中性笔</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得力</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中性笔</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真彩</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中性笔芯</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得力</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订书钉（加厚）</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得力</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盒</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40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中性笔</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得力0.7</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打火机</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一次性</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剪刀</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大号不锈钢</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把</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剪刀</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把</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白板笔</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得力</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文件夹</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双夹</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文件夹</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单夹</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8</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文具胶</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卷</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6</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文具胶</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卷</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蚊烟盘</w:t>
            </w:r>
          </w:p>
        </w:tc>
        <w:tc>
          <w:tcPr>
            <w:tcW w:w="1124"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彩旗</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三角</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卷</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47</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彩旗</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刀旗</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卷</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35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48</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意见箱</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铝合金中号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90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49</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纸杯</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普通（小袋）</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报纸架</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落地式</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120</w:t>
            </w:r>
          </w:p>
        </w:tc>
      </w:tr>
      <w:tr>
        <w:tblPrEx>
          <w:tblCellMar>
            <w:top w:w="0" w:type="dxa"/>
            <w:left w:w="108" w:type="dxa"/>
            <w:bottom w:w="0" w:type="dxa"/>
            <w:right w:w="108" w:type="dxa"/>
          </w:tblCellMar>
        </w:tblPrEx>
        <w:trPr>
          <w:trHeight w:val="9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51</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档案袋</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普通</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52</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档案袋</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得力</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53</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快干印台</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得力大号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12</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54</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快干印台</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得力小号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55</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双面胶</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56</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橡皮筋</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大袋</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袋</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57</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橡皮筋</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小袋</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袋</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58</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文件架</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五栏</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26</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59</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文件架</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三栏</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标签</w:t>
            </w:r>
          </w:p>
        </w:tc>
        <w:tc>
          <w:tcPr>
            <w:tcW w:w="1124"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61</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档案盒</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62</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档案盒</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9</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63</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档案盒</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8</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64</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原子印油</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得力</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瓶</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4</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指甲钳</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日美</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66</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装订线</w:t>
            </w:r>
          </w:p>
        </w:tc>
        <w:tc>
          <w:tcPr>
            <w:tcW w:w="1124"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卷</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3</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67</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计算器</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得力大号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60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68</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计算器</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得力小号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40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69</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订书机</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得力</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70</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订书机（加厚）</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得力</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55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71</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小刀</w:t>
            </w:r>
          </w:p>
        </w:tc>
        <w:tc>
          <w:tcPr>
            <w:tcW w:w="1124"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把</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72</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美工刀</w:t>
            </w:r>
          </w:p>
        </w:tc>
        <w:tc>
          <w:tcPr>
            <w:tcW w:w="1124"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把</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4</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73</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白板磁石</w:t>
            </w:r>
          </w:p>
        </w:tc>
        <w:tc>
          <w:tcPr>
            <w:tcW w:w="1124"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74</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信封（小）</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100*1</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包</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75</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信封（大）</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100*1</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包</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76</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复写纸</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盒</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11</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77</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复写纸</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盒</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8</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78</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透明档案袋</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塑料</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3</w:t>
            </w:r>
          </w:p>
        </w:tc>
      </w:tr>
      <w:tr>
        <w:tblPrEx>
          <w:tblCellMar>
            <w:top w:w="0" w:type="dxa"/>
            <w:left w:w="108" w:type="dxa"/>
            <w:bottom w:w="0" w:type="dxa"/>
            <w:right w:w="108" w:type="dxa"/>
          </w:tblCellMar>
        </w:tblPrEx>
        <w:trPr>
          <w:trHeight w:val="162"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79</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印泥</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12</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印泥</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8</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81</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长尾夹</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得力大号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合</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24</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82</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长尾夹</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得力中号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合</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83</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长尾夹</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得力小号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盒</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84</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分页笔记本</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普通</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85</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文件册</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40页</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86</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文件册</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10页</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8</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87</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记号笔</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彩</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88</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记号笔</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黑</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89</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软面抄</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80页</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3</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软面抄</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40页</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日历</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泡沫胶</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卷</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4</w:t>
            </w:r>
          </w:p>
        </w:tc>
      </w:tr>
      <w:tr>
        <w:tblPrEx>
          <w:tblCellMar>
            <w:top w:w="0" w:type="dxa"/>
            <w:left w:w="108" w:type="dxa"/>
            <w:bottom w:w="0" w:type="dxa"/>
            <w:right w:w="108" w:type="dxa"/>
          </w:tblCellMar>
        </w:tblPrEx>
        <w:trPr>
          <w:trHeight w:val="9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泡沫胶</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卷</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国旗</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面</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78</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95</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国旗</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面</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60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国旗</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面</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55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97</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胶带架</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98</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白板</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60*90</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块</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55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直尺</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30cm</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把</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3</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直尺</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20cm</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把</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101</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卷笔刀</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把</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102</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彩色复印纸</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A4</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包</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103</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便利贴</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正方形</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3</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104</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白板擦</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105</w:t>
            </w:r>
          </w:p>
        </w:tc>
        <w:tc>
          <w:tcPr>
            <w:tcW w:w="1036"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r>
              <w:rPr>
                <w:rFonts w:hint="eastAsia" w:ascii="宋体" w:hAnsi="宋体" w:cs="宋体"/>
                <w:color w:val="000000"/>
                <w:kern w:val="0"/>
                <w:szCs w:val="21"/>
                <w:lang w:bidi="ar"/>
              </w:rPr>
              <w:t>白板擦</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4</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收纳筐</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A4</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10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107</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板夹</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3.5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108</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板夹</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大号</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5</w:t>
            </w:r>
          </w:p>
        </w:tc>
      </w:tr>
      <w:tr>
        <w:tblPrEx>
          <w:tblCellMar>
            <w:top w:w="0" w:type="dxa"/>
            <w:left w:w="108" w:type="dxa"/>
            <w:bottom w:w="0" w:type="dxa"/>
            <w:right w:w="108" w:type="dxa"/>
          </w:tblCellMar>
        </w:tblPrEx>
        <w:trPr>
          <w:trHeight w:val="285"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109</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凭证合</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纸质</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份</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3</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110</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凭证封面</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纸</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0.3</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111</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凭证包角</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纸</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0.3</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112</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收纳箱</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80*60*50</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65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113</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收纳箱</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60*40*40</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55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114</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收纳箱</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50*40*35</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45</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115</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公文包</w:t>
            </w:r>
          </w:p>
        </w:tc>
        <w:tc>
          <w:tcPr>
            <w:tcW w:w="1124" w:type="pct"/>
            <w:tcBorders>
              <w:top w:val="nil"/>
              <w:left w:val="nil"/>
              <w:bottom w:val="single" w:color="000000" w:sz="8" w:space="0"/>
              <w:right w:val="single" w:color="000000" w:sz="8" w:space="0"/>
            </w:tcBorders>
            <w:noWrap/>
            <w:vAlign w:val="center"/>
          </w:tcPr>
          <w:p>
            <w:pPr>
              <w:jc w:val="center"/>
              <w:rPr>
                <w:rFonts w:hint="eastAsia" w:ascii="宋体" w:hAnsi="宋体" w:cs="宋体"/>
                <w:color w:val="000000"/>
                <w:szCs w:val="21"/>
              </w:rPr>
            </w:pP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400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116</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展示架</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A4</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50</w:t>
            </w:r>
          </w:p>
        </w:tc>
      </w:tr>
      <w:tr>
        <w:tblPrEx>
          <w:tblCellMar>
            <w:top w:w="0" w:type="dxa"/>
            <w:left w:w="108" w:type="dxa"/>
            <w:bottom w:w="0" w:type="dxa"/>
            <w:right w:w="108" w:type="dxa"/>
          </w:tblCellMar>
        </w:tblPrEx>
        <w:trPr>
          <w:trHeight w:val="300" w:hRule="atLeast"/>
          <w:jc w:val="center"/>
        </w:trPr>
        <w:tc>
          <w:tcPr>
            <w:tcW w:w="533" w:type="pc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117</w:t>
            </w:r>
          </w:p>
        </w:tc>
        <w:tc>
          <w:tcPr>
            <w:tcW w:w="1036"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拔河绳</w:t>
            </w:r>
          </w:p>
        </w:tc>
        <w:tc>
          <w:tcPr>
            <w:tcW w:w="1124"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30m</w:t>
            </w:r>
          </w:p>
        </w:tc>
        <w:tc>
          <w:tcPr>
            <w:tcW w:w="629"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c>
          <w:tcPr>
            <w:tcW w:w="510" w:type="pc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2"/>
                <w:szCs w:val="22"/>
                <w:lang w:bidi="ar"/>
              </w:rPr>
              <w:t>1</w:t>
            </w:r>
          </w:p>
        </w:tc>
        <w:tc>
          <w:tcPr>
            <w:tcW w:w="210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2"/>
                <w:szCs w:val="22"/>
                <w:lang w:bidi="ar"/>
              </w:rPr>
              <w:t>550</w:t>
            </w:r>
          </w:p>
        </w:tc>
      </w:tr>
    </w:tbl>
    <w:p>
      <w:pPr>
        <w:widowControl/>
        <w:spacing w:line="420" w:lineRule="exact"/>
        <w:jc w:val="left"/>
        <w:rPr>
          <w:rFonts w:hint="eastAsia" w:ascii="宋体" w:hAnsi="宋体"/>
          <w:b/>
          <w:bCs/>
          <w:sz w:val="24"/>
        </w:rPr>
      </w:pPr>
      <w:r>
        <w:rPr>
          <w:rFonts w:hint="eastAsia" w:ascii="宋体" w:hAnsi="宋体"/>
          <w:b/>
          <w:bCs/>
          <w:sz w:val="24"/>
        </w:rPr>
        <w:t>二、货物质量及供货售后要求</w:t>
      </w:r>
    </w:p>
    <w:p>
      <w:pPr>
        <w:spacing w:line="360" w:lineRule="auto"/>
        <w:ind w:firstLine="420" w:firstLineChars="200"/>
        <w:jc w:val="left"/>
        <w:rPr>
          <w:rFonts w:hint="eastAsia" w:ascii="宋体" w:hAnsi="宋体" w:cs="宋体"/>
          <w:szCs w:val="21"/>
        </w:rPr>
      </w:pPr>
      <w:r>
        <w:rPr>
          <w:rFonts w:hint="eastAsia" w:ascii="宋体" w:hAnsi="宋体" w:cs="宋体"/>
          <w:szCs w:val="21"/>
        </w:rPr>
        <w:t>1、因品种较多，品种规格等参数繁杂，部分表述不够清晰的参照或优于采购人现使用物资质量、规格，中标后签订合同时和供货过程中，供应商不得以不了解或不完全了解招标相关内容及要求等情况为由，提出任何形式的增加费用或索赔的要求。</w:t>
      </w:r>
    </w:p>
    <w:p>
      <w:pPr>
        <w:spacing w:line="360" w:lineRule="auto"/>
        <w:ind w:firstLine="422" w:firstLineChars="200"/>
        <w:jc w:val="left"/>
        <w:rPr>
          <w:rFonts w:hint="eastAsia" w:ascii="宋体" w:hAnsi="宋体" w:cs="宋体"/>
          <w:b/>
          <w:bCs/>
          <w:szCs w:val="21"/>
        </w:rPr>
      </w:pPr>
      <w:r>
        <w:rPr>
          <w:rFonts w:hint="eastAsia" w:ascii="宋体" w:hAnsi="宋体" w:cs="宋体"/>
          <w:b/>
          <w:bCs/>
          <w:szCs w:val="21"/>
        </w:rPr>
        <w:t>2、质量保证</w:t>
      </w:r>
    </w:p>
    <w:p>
      <w:pPr>
        <w:spacing w:line="360" w:lineRule="auto"/>
        <w:ind w:firstLine="420" w:firstLineChars="200"/>
        <w:jc w:val="left"/>
        <w:rPr>
          <w:rFonts w:hint="eastAsia" w:ascii="宋体" w:hAnsi="宋体" w:cs="宋体"/>
          <w:szCs w:val="21"/>
        </w:rPr>
      </w:pPr>
      <w:r>
        <w:rPr>
          <w:rFonts w:hint="eastAsia" w:ascii="宋体" w:hAnsi="宋体" w:cs="宋体"/>
          <w:szCs w:val="21"/>
        </w:rPr>
        <w:t>供应商提供的货物必须完全符合国家规定的质量标准和相关行业标准，均为厂家全新、原装、正宗产品，并完全符合招标文件规定的质量、规格和性能的要求，保证其货物在正常使用和保养条件下，在其使用寿命期内应具有满意的性能。</w:t>
      </w:r>
    </w:p>
    <w:p>
      <w:pPr>
        <w:spacing w:line="360" w:lineRule="auto"/>
        <w:ind w:firstLine="422" w:firstLineChars="200"/>
        <w:jc w:val="left"/>
        <w:rPr>
          <w:rFonts w:hint="eastAsia" w:ascii="宋体" w:hAnsi="宋体" w:cs="宋体"/>
          <w:szCs w:val="21"/>
        </w:rPr>
      </w:pPr>
      <w:r>
        <w:rPr>
          <w:rFonts w:hint="eastAsia" w:ascii="宋体" w:hAnsi="宋体" w:cs="宋体"/>
          <w:b/>
          <w:bCs/>
          <w:szCs w:val="21"/>
        </w:rPr>
        <w:t>3、供货要求</w:t>
      </w:r>
    </w:p>
    <w:p>
      <w:pPr>
        <w:spacing w:line="360" w:lineRule="auto"/>
        <w:ind w:firstLine="420" w:firstLineChars="200"/>
        <w:jc w:val="left"/>
        <w:rPr>
          <w:rFonts w:hint="eastAsia" w:ascii="宋体" w:hAnsi="宋体" w:cs="宋体"/>
          <w:szCs w:val="21"/>
        </w:rPr>
      </w:pPr>
      <w:r>
        <w:rPr>
          <w:rFonts w:hint="eastAsia" w:ascii="宋体" w:hAnsi="宋体" w:cs="宋体"/>
          <w:szCs w:val="21"/>
        </w:rPr>
        <w:t>3.1 供应商每月根据采购人通知的品种和数量按计划送</w:t>
      </w:r>
      <w:r>
        <w:rPr>
          <w:rFonts w:hint="eastAsia" w:ascii="宋体" w:hAnsi="宋体" w:cs="宋体"/>
          <w:szCs w:val="21"/>
          <w:highlight w:val="none"/>
        </w:rPr>
        <w:t>货，送货时间原则上不得超过 7 日历天；</w:t>
      </w:r>
      <w:r>
        <w:rPr>
          <w:rFonts w:hint="eastAsia" w:ascii="宋体" w:hAnsi="宋体" w:cs="宋体"/>
          <w:szCs w:val="21"/>
        </w:rPr>
        <w:t>零星供货，随要随送，送货时间最长不得超过4小时，并按照采购人要求送至指定地点，负责运输。</w:t>
      </w:r>
    </w:p>
    <w:p>
      <w:pPr>
        <w:spacing w:line="360" w:lineRule="auto"/>
        <w:ind w:firstLine="420" w:firstLineChars="200"/>
        <w:jc w:val="left"/>
        <w:rPr>
          <w:rFonts w:hint="eastAsia" w:ascii="宋体" w:hAnsi="宋体" w:cs="宋体"/>
          <w:szCs w:val="21"/>
        </w:rPr>
      </w:pPr>
      <w:r>
        <w:rPr>
          <w:rFonts w:hint="eastAsia" w:ascii="宋体" w:hAnsi="宋体" w:cs="宋体"/>
          <w:szCs w:val="21"/>
        </w:rPr>
        <w:t>3.2 中标方根据采购人采购计划进行供货，不允许超计划供货，超出计划的数量，采购人不予验收入库，由中标方无条件带回。</w:t>
      </w:r>
    </w:p>
    <w:p>
      <w:pPr>
        <w:spacing w:line="360" w:lineRule="auto"/>
        <w:ind w:firstLine="420" w:firstLineChars="200"/>
        <w:jc w:val="left"/>
        <w:rPr>
          <w:rFonts w:hint="eastAsia" w:ascii="宋体" w:hAnsi="宋体" w:cs="宋体"/>
          <w:szCs w:val="21"/>
        </w:rPr>
      </w:pPr>
      <w:r>
        <w:rPr>
          <w:rFonts w:hint="eastAsia" w:ascii="宋体" w:hAnsi="宋体" w:cs="宋体"/>
          <w:szCs w:val="21"/>
        </w:rPr>
        <w:t>3.3 中标供应商所投的品牌货物在使用过程中出现质量和使用问题， 采购人有权要求更换，直至采购人满意，且不再另行支付任何费用。</w:t>
      </w:r>
    </w:p>
    <w:p>
      <w:pPr>
        <w:spacing w:line="360" w:lineRule="auto"/>
        <w:ind w:firstLine="420" w:firstLineChars="200"/>
        <w:jc w:val="left"/>
        <w:rPr>
          <w:rFonts w:hint="eastAsia" w:ascii="宋体" w:hAnsi="宋体" w:cs="宋体"/>
          <w:szCs w:val="21"/>
        </w:rPr>
      </w:pPr>
      <w:r>
        <w:rPr>
          <w:rFonts w:hint="eastAsia" w:ascii="宋体" w:hAnsi="宋体" w:cs="宋体"/>
          <w:szCs w:val="21"/>
        </w:rPr>
        <w:t>3.4按采购人实际需求进行供货，中标供应商须无条件满足采购人需求，确保供货质量并及时供货。</w:t>
      </w:r>
    </w:p>
    <w:p>
      <w:pPr>
        <w:spacing w:line="360" w:lineRule="auto"/>
        <w:jc w:val="left"/>
        <w:rPr>
          <w:rFonts w:hint="eastAsia" w:ascii="宋体" w:hAnsi="宋体"/>
          <w:b/>
          <w:bCs/>
          <w:sz w:val="24"/>
        </w:rPr>
      </w:pPr>
      <w:r>
        <w:rPr>
          <w:rFonts w:hint="eastAsia" w:ascii="宋体" w:hAnsi="宋体"/>
          <w:b/>
          <w:bCs/>
          <w:sz w:val="24"/>
        </w:rPr>
        <w:t>三、验收</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中标供应商和采购人双方共同实施验收工作，结果和验收报告经双方确认后生效。</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、货物到场需附清单发票，由</w:t>
      </w:r>
      <w:r>
        <w:rPr>
          <w:rFonts w:hint="eastAsia" w:ascii="宋体" w:hAnsi="宋体" w:eastAsia="宋体" w:cs="宋体"/>
          <w:szCs w:val="21"/>
          <w:lang w:val="en-US" w:eastAsia="zh-CN"/>
        </w:rPr>
        <w:t>采购</w:t>
      </w:r>
      <w:r>
        <w:rPr>
          <w:rFonts w:hint="eastAsia" w:ascii="宋体" w:hAnsi="宋体" w:eastAsia="宋体" w:cs="宋体"/>
          <w:szCs w:val="21"/>
        </w:rPr>
        <w:t>人库管和本合同质量要求进行验收。</w:t>
      </w:r>
      <w:r>
        <w:rPr>
          <w:rFonts w:hint="eastAsia" w:ascii="宋体" w:hAnsi="宋体" w:eastAsia="宋体" w:cs="宋体"/>
          <w:szCs w:val="21"/>
          <w:lang w:val="en-US" w:eastAsia="zh-CN"/>
        </w:rPr>
        <w:t>中标供应商</w:t>
      </w:r>
      <w:r>
        <w:rPr>
          <w:rFonts w:hint="eastAsia" w:ascii="宋体" w:hAnsi="宋体" w:eastAsia="宋体" w:cs="宋体"/>
          <w:szCs w:val="21"/>
        </w:rPr>
        <w:t>严格按照质量及数量要求供货，若发现供货质量、规格等存在问题，</w:t>
      </w:r>
      <w:r>
        <w:rPr>
          <w:rFonts w:hint="eastAsia" w:ascii="宋体" w:hAnsi="宋体" w:eastAsia="宋体" w:cs="宋体"/>
          <w:szCs w:val="21"/>
          <w:lang w:val="en-US" w:eastAsia="zh-CN"/>
        </w:rPr>
        <w:t>采购</w:t>
      </w:r>
      <w:r>
        <w:rPr>
          <w:rFonts w:hint="eastAsia" w:ascii="宋体" w:hAnsi="宋体" w:eastAsia="宋体" w:cs="宋体"/>
          <w:szCs w:val="21"/>
        </w:rPr>
        <w:t>人有权拒收，</w:t>
      </w:r>
      <w:r>
        <w:rPr>
          <w:rFonts w:hint="eastAsia" w:ascii="宋体" w:hAnsi="宋体" w:eastAsia="宋体" w:cs="宋体"/>
          <w:szCs w:val="21"/>
          <w:lang w:val="en-US" w:eastAsia="zh-CN"/>
        </w:rPr>
        <w:t>中标供应商</w:t>
      </w:r>
      <w:r>
        <w:rPr>
          <w:rFonts w:hint="eastAsia" w:ascii="宋体" w:hAnsi="宋体" w:eastAsia="宋体" w:cs="宋体"/>
          <w:szCs w:val="21"/>
        </w:rPr>
        <w:t>应在1个工作日内无条件更换，直至</w:t>
      </w:r>
      <w:r>
        <w:rPr>
          <w:rFonts w:hint="eastAsia" w:ascii="宋体" w:hAnsi="宋体" w:eastAsia="宋体" w:cs="宋体"/>
          <w:szCs w:val="21"/>
          <w:lang w:val="en-US" w:eastAsia="zh-CN"/>
        </w:rPr>
        <w:t>采购</w:t>
      </w:r>
      <w:r>
        <w:rPr>
          <w:rFonts w:hint="eastAsia" w:ascii="宋体" w:hAnsi="宋体" w:eastAsia="宋体" w:cs="宋体"/>
          <w:szCs w:val="21"/>
        </w:rPr>
        <w:t>人认可。</w:t>
      </w:r>
    </w:p>
    <w:p>
      <w:pPr>
        <w:spacing w:line="360" w:lineRule="auto"/>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3、如发现中标供应商以次充好、不按时供货或造成采购人使用科室投诉的，每发现一次扣罚中标供应商500元；影响采购人正常医疗秩序的，每发现一次扣罚1000元；如连续发现三次以上情况的，采购人有权单方面终止或解除合同；造成严重后果的将追究采购人相应的法律责任，并附带承担由此造成的一切损失，采购人有权提前终止合同，同时中标供应商履约保证金不予退还。</w:t>
      </w:r>
    </w:p>
    <w:p>
      <w:pPr>
        <w:spacing w:line="360" w:lineRule="auto"/>
        <w:jc w:val="left"/>
        <w:rPr>
          <w:rFonts w:hint="eastAsia" w:ascii="宋体" w:hAnsi="宋体"/>
          <w:b/>
          <w:bCs/>
          <w:sz w:val="24"/>
        </w:rPr>
      </w:pPr>
      <w:r>
        <w:rPr>
          <w:rFonts w:hint="eastAsia" w:ascii="宋体" w:hAnsi="宋体"/>
          <w:b/>
          <w:bCs/>
          <w:sz w:val="24"/>
        </w:rPr>
        <w:t>四、付款方式</w:t>
      </w:r>
    </w:p>
    <w:p>
      <w:pPr>
        <w:spacing w:line="360" w:lineRule="auto"/>
        <w:ind w:firstLine="420" w:firstLineChars="200"/>
        <w:jc w:val="left"/>
        <w:rPr>
          <w:rFonts w:hint="eastAsia" w:ascii="宋体" w:hAnsi="宋体" w:cs="宋体"/>
          <w:szCs w:val="21"/>
        </w:rPr>
      </w:pPr>
      <w:r>
        <w:rPr>
          <w:rFonts w:hint="eastAsia" w:ascii="宋体" w:hAnsi="宋体" w:cs="宋体"/>
          <w:szCs w:val="21"/>
        </w:rPr>
        <w:t>（1）结算原则：按实际供货量乘以其单项最高限价再乘以中标费率进行结算，其中标费率在服务期内不作任何调整。</w:t>
      </w:r>
    </w:p>
    <w:p>
      <w:pPr>
        <w:spacing w:line="360" w:lineRule="auto"/>
        <w:ind w:firstLine="420" w:firstLineChars="200"/>
        <w:jc w:val="left"/>
        <w:rPr>
          <w:rFonts w:hint="eastAsia" w:ascii="宋体" w:hAnsi="宋体" w:cs="宋体"/>
          <w:szCs w:val="21"/>
        </w:rPr>
      </w:pPr>
      <w:r>
        <w:rPr>
          <w:rFonts w:hint="eastAsia" w:ascii="宋体" w:hAnsi="宋体" w:cs="宋体"/>
          <w:szCs w:val="21"/>
        </w:rPr>
        <w:t>（2）按供货批次结算货款，货到现场经买方验收合格后，买方按医院财务管理办法汇款，卖方需提供买方要求的等值面额发票，如卖方逾期提供发票或提供发票不合格，买方可顺延付款期限。</w:t>
      </w:r>
    </w:p>
    <w:p>
      <w:pPr>
        <w:pStyle w:val="5"/>
        <w:ind w:firstLine="0" w:firstLineChars="0"/>
        <w:rPr>
          <w:rFonts w:hint="eastAsia"/>
          <w:b/>
          <w:bCs/>
          <w:highlight w:val="none"/>
        </w:rPr>
      </w:pPr>
      <w:r>
        <w:rPr>
          <w:rFonts w:hint="eastAsia"/>
          <w:b/>
          <w:bCs/>
          <w:highlight w:val="none"/>
        </w:rPr>
        <w:t>五、其他要求</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中标供应商所提供的货物包含但不限于本项目清单中列举的货物品种，未在本项目清单中列明的货物，后期采购人如需采购时，按市场价乘以中标费率进行结算，供应商在报价时须考虑该项内容。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MDgxOTNiNGFkY2ViOGIzYWM1ZDQyNDE1MjE5MWIifQ=="/>
  </w:docVars>
  <w:rsids>
    <w:rsidRoot w:val="2CF6189A"/>
    <w:rsid w:val="2CF6189A"/>
    <w:rsid w:val="584E7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before="100" w:after="100"/>
      <w:jc w:val="center"/>
      <w:outlineLvl w:val="0"/>
    </w:pPr>
    <w:rPr>
      <w:b/>
      <w:bCs/>
      <w:kern w:val="44"/>
      <w:sz w:val="32"/>
      <w:szCs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0"/>
    <w:pPr>
      <w:spacing w:after="120"/>
      <w:ind w:left="420" w:leftChars="200" w:firstLine="420" w:firstLineChars="200"/>
    </w:pPr>
    <w:rPr>
      <w:rFonts w:cs="黑体"/>
      <w:sz w:val="21"/>
      <w:szCs w:val="22"/>
    </w:r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5">
    <w:name w:val="Body Text First Indent"/>
    <w:basedOn w:val="6"/>
    <w:qFormat/>
    <w:uiPriority w:val="0"/>
    <w:pPr>
      <w:tabs>
        <w:tab w:val="left" w:pos="567"/>
      </w:tabs>
      <w:spacing w:after="120"/>
      <w:ind w:firstLine="420" w:firstLineChars="100"/>
    </w:pPr>
  </w:style>
  <w:style w:type="paragraph" w:styleId="6">
    <w:name w:val="Body Text"/>
    <w:basedOn w:val="1"/>
    <w:next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2342</Words>
  <Characters>2615</Characters>
  <Lines>0</Lines>
  <Paragraphs>0</Paragraphs>
  <TotalTime>1</TotalTime>
  <ScaleCrop>false</ScaleCrop>
  <LinksUpToDate>false</LinksUpToDate>
  <CharactersWithSpaces>2625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2022-06-23T03:56:00Z</dcterms:created>
  <dc:creator>兔子爱上了窝边草</dc:creator>
  <cp:lastModifiedBy>user</cp:lastModifiedBy>
  <dcterms:modified xsi:type="dcterms:W3CDTF">2022-06-23T08:50:55Z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F260BF33CE664C529937E574E7528678</vt:lpwstr>
  </property>
</Properties>
</file>